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949" w:rsidRDefault="00676949" w:rsidP="00676949">
      <w:pPr>
        <w:spacing w:line="3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REGULAMIN PRZETARGU</w:t>
      </w:r>
    </w:p>
    <w:p w:rsidR="00676949" w:rsidRDefault="00676949" w:rsidP="00676949">
      <w:pPr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zabudowanej, opisanej w ewidencji gruntów jako działka nr 2/11 z obrębu 4165 o powierzchni 314.391m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położonej w Szczecinie przy ul. Batalionów Chłopskich 123, dla której Sąd Rejonowy Szczecin-Prawobrzeże i Zachód w Szczecinie X Wydział Ksiąg Wieczystych prowadzi księgę wieczystą nr KW SZ1S/00241836/2.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ma formę przetargu ustnego nieograniczonego.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przetargu jest Zakład Wodociągów i Kanalizacji Spółka z o.o. z siedzibą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Szczecinie,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10, wpisana do rejestru przedsiębiorców Krajowego Rejestru Sądowego pod numerem 0000063704, prowadzonego przez Sąd Rejonowy Szczecin-Centrum w Szczecinie – XIII Wydział Gospodarczy, NIP: 851-26-24-854, Regon: 811931430.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Podstawą prawną przeprowadzenia przetargu jest:</w:t>
      </w:r>
    </w:p>
    <w:p w:rsidR="00676949" w:rsidRDefault="00676949" w:rsidP="00676949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1/2019 Nadzwyczajnego Zgromadzenia Wspólników Spółki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Sp. z o.o. z dnia 02.04.2019r. w sprawie wyrażenia zgody na sprzedaż prawa użytkowania wieczystego nieruchomości gruntowej położonej przy ul. Batalionów Chłopskich 123 w Szczecinie..</w:t>
      </w:r>
    </w:p>
    <w:p w:rsidR="00676949" w:rsidRDefault="00A43317" w:rsidP="00676949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27</w:t>
      </w:r>
      <w:r w:rsidR="00676949">
        <w:rPr>
          <w:rFonts w:ascii="Times New Roman" w:hAnsi="Times New Roman" w:cs="Times New Roman"/>
          <w:sz w:val="24"/>
          <w:szCs w:val="24"/>
        </w:rPr>
        <w:t xml:space="preserve">/2019 Zarządu </w:t>
      </w:r>
      <w:proofErr w:type="spellStart"/>
      <w:r w:rsidR="00676949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676949">
        <w:rPr>
          <w:rFonts w:ascii="Times New Roman" w:hAnsi="Times New Roman" w:cs="Times New Roman"/>
          <w:sz w:val="24"/>
          <w:szCs w:val="24"/>
        </w:rPr>
        <w:t xml:space="preserve"> Sp. z o.o. z dnia </w:t>
      </w:r>
      <w:r>
        <w:rPr>
          <w:rFonts w:ascii="Times New Roman" w:hAnsi="Times New Roman" w:cs="Times New Roman"/>
          <w:sz w:val="24"/>
          <w:szCs w:val="24"/>
        </w:rPr>
        <w:t>22.08.</w:t>
      </w:r>
      <w:r w:rsidR="00676949">
        <w:rPr>
          <w:rFonts w:ascii="Times New Roman" w:hAnsi="Times New Roman" w:cs="Times New Roman"/>
          <w:sz w:val="24"/>
          <w:szCs w:val="24"/>
        </w:rPr>
        <w:t>2019r.</w:t>
      </w:r>
      <w:r>
        <w:rPr>
          <w:rFonts w:ascii="Times New Roman" w:hAnsi="Times New Roman" w:cs="Times New Roman"/>
          <w:sz w:val="24"/>
          <w:szCs w:val="24"/>
        </w:rPr>
        <w:t xml:space="preserve"> w sprawie</w:t>
      </w:r>
      <w:r w:rsidR="006769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wyrażenia zgody na wszczęcie II procedury przetargowej oraz ustalenia ceny wywoławczej sprzedaży prawa użytkowania wieczystego nieruchomości gruntowej zabudowanej położonej przy ul. Batalionów Chłopskich 123 w Szczecinie oraz kwoty postąpienia </w:t>
      </w:r>
      <w:r>
        <w:rPr>
          <w:rFonts w:ascii="Times New Roman" w:hAnsi="Times New Roman" w:cs="Times New Roman"/>
          <w:sz w:val="24"/>
          <w:szCs w:val="24"/>
        </w:rPr>
        <w:br/>
        <w:t>i wadium.</w:t>
      </w:r>
    </w:p>
    <w:p w:rsidR="00676949" w:rsidRDefault="00676949" w:rsidP="00676949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24/2015 Nadzwyczajnego Zgromadzenia Wspólników Spółki Zakład Wodociągów i Kanalizacji Sp. z o.o. w Szczecinie z dnia 04.09.2015r. w sprawie zatwierdzenia zasad zbywania przez Zakład Wodociągów i Kanalizacji Sp.  z o.o.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Szczecinie nieruchomości zabudowanych, nieruchomości gruntowych, nieruchomości budynkowych oraz zasad współpracy z podmiotami pośredniczącymi </w:t>
      </w:r>
      <w:r w:rsidR="003F747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obrocie nieruchomościami w zakresie sprzedaży, dzierżawy i/lub najmu.    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Przetarg organizuje i ogłasza działający z upoważnienia Zarządu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Dyrektor ds. Inwestycji i Rozwoju, który powołuje Komisję Przetargową i ustala zasady i tryb procedowania ww. Komisji.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Przedmiotem przetargu</w:t>
      </w:r>
      <w:r>
        <w:rPr>
          <w:rFonts w:ascii="Times New Roman" w:hAnsi="Times New Roman" w:cs="Times New Roman"/>
          <w:sz w:val="24"/>
          <w:szCs w:val="24"/>
        </w:rPr>
        <w:t xml:space="preserve"> jest nieruchomość gruntowa zabudowana, położona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Szczecinie przy ul. Batalionów Chłopskich 123, pozostająca w użytkowaniu wieczystym Zakładu Wodociągów i Kanalizacji Sp. z o.o. w Szczecinie do dnia 27.12.2098r., oznaczona </w:t>
      </w:r>
      <w:r w:rsidR="00694BA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ewidencji gruntów jako działka nr 2/11 z obrębu 4165, dla której Sąd Rejonowy Szczecin-Prawobrzeże i Zachód w Szczecinie X Wydział Ksiąg Wieczystych prowadzi księgę wieczystą nr SZ1S/00241836/2. 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nieruchomości, lokalizacja i otoczenie.</w:t>
      </w:r>
    </w:p>
    <w:p w:rsidR="00676949" w:rsidRDefault="00676949" w:rsidP="00676949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o powierzchni 314.391m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opisana w ewidencji gruntów jako działka nr 2/11 </w:t>
      </w:r>
      <w:r>
        <w:rPr>
          <w:rFonts w:ascii="Times New Roman" w:hAnsi="Times New Roman" w:cs="Times New Roman"/>
          <w:sz w:val="24"/>
          <w:szCs w:val="24"/>
        </w:rPr>
        <w:br/>
        <w:t xml:space="preserve">z obrębu 4165 położona jest w Szczecinie przy ul. Batalionów Chłopskich 123 </w:t>
      </w:r>
      <w:r>
        <w:rPr>
          <w:rFonts w:ascii="Times New Roman" w:hAnsi="Times New Roman" w:cs="Times New Roman"/>
          <w:sz w:val="24"/>
          <w:szCs w:val="24"/>
        </w:rPr>
        <w:br/>
        <w:t xml:space="preserve">w prawobrzeżnej części Szczecina, na osiedlu Zdroje. Sąsiedztwo i otoczenie stanowi rzeka </w:t>
      </w:r>
      <w:proofErr w:type="spellStart"/>
      <w:r>
        <w:rPr>
          <w:rFonts w:ascii="Times New Roman" w:hAnsi="Times New Roman" w:cs="Times New Roman"/>
          <w:sz w:val="24"/>
          <w:szCs w:val="24"/>
        </w:rPr>
        <w:t>Regalica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trakcja kolejowa, zabudowa przemysłowo-usługowa, dalej zabudowa </w:t>
      </w:r>
      <w:r w:rsidR="00694BA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mieszkaniowo-usługowa. Dojazd od ulicy Batalionów Chłopskich o nawierzchni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asfaltobetonu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Teren w większości niezagospodarowany i nieużytkowany, podmokły </w:t>
      </w:r>
      <w:r>
        <w:rPr>
          <w:rFonts w:ascii="Times New Roman" w:hAnsi="Times New Roman" w:cs="Times New Roman"/>
          <w:sz w:val="24"/>
          <w:szCs w:val="24"/>
        </w:rPr>
        <w:br/>
        <w:t xml:space="preserve">i bagnisty, porośnięty trawą, krzewami i drzewami – głównie samosiejkami. Kształt nieruchomości w miarę regularny. Teren ogrodzony siatką stalową na słupach. Teren </w:t>
      </w:r>
      <w:r>
        <w:rPr>
          <w:rFonts w:ascii="Times New Roman" w:hAnsi="Times New Roman" w:cs="Times New Roman"/>
          <w:sz w:val="24"/>
          <w:szCs w:val="24"/>
        </w:rPr>
        <w:br/>
        <w:t xml:space="preserve">w zasięgu pełnego uzbrojenia - woda, sieć sanitarna, energia elektryczna. 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Przeznaczenie i sposób zagospodarowania.</w:t>
      </w:r>
    </w:p>
    <w:p w:rsidR="00676949" w:rsidRDefault="00676949" w:rsidP="00676949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przedmiotowej działki brak jest obowiązującego Miejscowego planu zagospodarowania przestrzennego.</w:t>
      </w:r>
    </w:p>
    <w:p w:rsidR="00676949" w:rsidRDefault="00676949" w:rsidP="00676949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zapisami Studium uwarunkowań i kierunków zagospodarowania przestrzennego Miasta Szczecin, przedmiotowa nieruchomość znajduję się w granicach jednostki planistycznej: D.Z.02, funkcja dominująca: usługi sportu, rekreacji i turystyki wodnej </w:t>
      </w:r>
      <w:r>
        <w:rPr>
          <w:rFonts w:ascii="Times New Roman" w:hAnsi="Times New Roman" w:cs="Times New Roman"/>
          <w:sz w:val="24"/>
          <w:szCs w:val="24"/>
        </w:rPr>
        <w:br/>
        <w:t xml:space="preserve">(np. przystanie wodne, w tym wędkarskie), zespoły marin i obiekty rekreacyjne związane </w:t>
      </w:r>
      <w:r>
        <w:rPr>
          <w:rFonts w:ascii="Times New Roman" w:hAnsi="Times New Roman" w:cs="Times New Roman"/>
          <w:sz w:val="24"/>
          <w:szCs w:val="24"/>
        </w:rPr>
        <w:br/>
        <w:t xml:space="preserve">z wodą wraz z niezbędnym zapleczem techniczno-komunikacyjnym i socjalno-usługowym; </w:t>
      </w:r>
      <w:r>
        <w:rPr>
          <w:rFonts w:ascii="Times New Roman" w:hAnsi="Times New Roman" w:cs="Times New Roman"/>
          <w:sz w:val="24"/>
          <w:szCs w:val="24"/>
        </w:rPr>
        <w:br/>
        <w:t>zieleń urządzona, zieleń naturalna z możliwością wprowadzenia elementów stwarzających warunki do rekreacji biernej.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III księgi wieczystej nr KW SZ1S/00241836/2 (prawa, roszczenia i ograniczenia) </w:t>
      </w:r>
    </w:p>
    <w:p w:rsidR="00676949" w:rsidRDefault="00676949" w:rsidP="00676949">
      <w:pPr>
        <w:pStyle w:val="Akapitzlist"/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czas nieokreślony, za jednorazową odpłatnością, służebność przesyłu polegająca na prawie swobodnego dostępu do pasa technicznego gruntu o szerokości 2m (po 1m </w:t>
      </w:r>
      <w:r>
        <w:rPr>
          <w:rFonts w:ascii="Times New Roman" w:hAnsi="Times New Roman" w:cs="Times New Roman"/>
          <w:sz w:val="24"/>
          <w:szCs w:val="24"/>
        </w:rPr>
        <w:br/>
        <w:t xml:space="preserve">z każdej strony) zgodnie z przebiegiem gazociągu w celu budowy sieci gazowej, </w:t>
      </w:r>
      <w:r>
        <w:rPr>
          <w:rFonts w:ascii="Times New Roman" w:hAnsi="Times New Roman" w:cs="Times New Roman"/>
          <w:sz w:val="24"/>
          <w:szCs w:val="24"/>
        </w:rPr>
        <w:br/>
        <w:t xml:space="preserve">a następnie jej prawidłowej eksploatacji, konserwacji, usuwania awarii, modernizacji lub wymiany, ustanowiona na rzecz Wielkopolskiej Spółki Gazownictwa Sp. z o.o. </w:t>
      </w:r>
      <w:r>
        <w:rPr>
          <w:rFonts w:ascii="Times New Roman" w:hAnsi="Times New Roman" w:cs="Times New Roman"/>
          <w:sz w:val="24"/>
          <w:szCs w:val="24"/>
        </w:rPr>
        <w:br/>
        <w:t>w Poznaniu bądź jej następcy prawnego;</w:t>
      </w:r>
    </w:p>
    <w:p w:rsidR="00676949" w:rsidRDefault="00676949" w:rsidP="00676949">
      <w:pPr>
        <w:pStyle w:val="Akapitzlist"/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czas nieokreślony, odpłatna za jednorazowym wynagrodzeniem służebność przesyłu polegająca na prawie swobodnego dostępu do pasa technicznego – pasa gruntu obejmującego trasę przebiegu traktu światłowodowego w celu bieżącej eksploatacji traktu światłowodowego, jego konserwacji, usuwania ewentualnych awarii, modernizacji lub wymiany, przywracając każdorazowo na swój koszt powierzchnię obciążanych nieruchomości do stanu poprzedniego, na rzecz Polkomtel Sp. z o.o. </w:t>
      </w:r>
      <w:r w:rsidR="00694BA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Warszawie i jej następców prawnych.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IV księgi wieczystej nr KW SZ1S/00241836/2 (hipoteka) – brak wpisów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wywoławcza, kwota postąpienia i wadium:</w:t>
      </w:r>
    </w:p>
    <w:p w:rsidR="00676949" w:rsidRDefault="00676949" w:rsidP="0067694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</w:t>
      </w:r>
      <w:r>
        <w:rPr>
          <w:rFonts w:ascii="Times New Roman" w:hAnsi="Times New Roman" w:cs="Times New Roman"/>
          <w:sz w:val="24"/>
          <w:szCs w:val="24"/>
        </w:rPr>
        <w:t xml:space="preserve"> przedmiotu przetargu wynosi </w:t>
      </w:r>
      <w:r w:rsidR="0035440C">
        <w:rPr>
          <w:rFonts w:ascii="Times New Roman" w:hAnsi="Times New Roman" w:cs="Times New Roman"/>
          <w:b/>
          <w:sz w:val="24"/>
          <w:szCs w:val="24"/>
        </w:rPr>
        <w:t>7.768</w:t>
      </w:r>
      <w:r>
        <w:rPr>
          <w:rFonts w:ascii="Times New Roman" w:hAnsi="Times New Roman" w:cs="Times New Roman"/>
          <w:b/>
          <w:sz w:val="24"/>
          <w:szCs w:val="24"/>
        </w:rPr>
        <w:t>.000,00zł netto</w:t>
      </w:r>
      <w:r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35440C">
        <w:rPr>
          <w:rFonts w:ascii="Times New Roman" w:hAnsi="Times New Roman" w:cs="Times New Roman"/>
          <w:sz w:val="24"/>
          <w:szCs w:val="24"/>
        </w:rPr>
        <w:t>siedem milionów siedemset sześćdziesiąt osiem</w:t>
      </w:r>
      <w:r>
        <w:rPr>
          <w:rFonts w:ascii="Times New Roman" w:hAnsi="Times New Roman" w:cs="Times New Roman"/>
          <w:sz w:val="24"/>
          <w:szCs w:val="24"/>
        </w:rPr>
        <w:t xml:space="preserve"> tysięcy złotych netto).</w:t>
      </w:r>
    </w:p>
    <w:p w:rsidR="00676949" w:rsidRDefault="00676949" w:rsidP="0067694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Wadium</w:t>
      </w:r>
      <w:r>
        <w:rPr>
          <w:rFonts w:ascii="Times New Roman" w:hAnsi="Times New Roman" w:cs="Times New Roman"/>
          <w:sz w:val="24"/>
          <w:szCs w:val="24"/>
        </w:rPr>
        <w:t xml:space="preserve"> wynosi 10% ceny wywoławczej tj. </w:t>
      </w:r>
      <w:r w:rsidR="0035440C">
        <w:rPr>
          <w:rFonts w:ascii="Times New Roman" w:hAnsi="Times New Roman" w:cs="Times New Roman"/>
          <w:b/>
          <w:sz w:val="24"/>
          <w:szCs w:val="24"/>
        </w:rPr>
        <w:t>776.8</w:t>
      </w:r>
      <w:r>
        <w:rPr>
          <w:rFonts w:ascii="Times New Roman" w:hAnsi="Times New Roman" w:cs="Times New Roman"/>
          <w:b/>
          <w:sz w:val="24"/>
          <w:szCs w:val="24"/>
        </w:rPr>
        <w:t>00,00zł</w:t>
      </w:r>
    </w:p>
    <w:p w:rsidR="00676949" w:rsidRDefault="00676949" w:rsidP="0067694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Kwota postąpienia</w:t>
      </w:r>
      <w:r>
        <w:rPr>
          <w:rFonts w:ascii="Times New Roman" w:hAnsi="Times New Roman" w:cs="Times New Roman"/>
          <w:sz w:val="24"/>
          <w:szCs w:val="24"/>
        </w:rPr>
        <w:t xml:space="preserve"> wynosi co najmniej</w:t>
      </w:r>
      <w:r w:rsidR="0035440C">
        <w:rPr>
          <w:rFonts w:ascii="Times New Roman" w:hAnsi="Times New Roman" w:cs="Times New Roman"/>
          <w:sz w:val="24"/>
          <w:szCs w:val="24"/>
        </w:rPr>
        <w:t xml:space="preserve"> </w:t>
      </w:r>
      <w:r w:rsidR="0035440C">
        <w:rPr>
          <w:rFonts w:ascii="Times New Roman" w:hAnsi="Times New Roman" w:cs="Times New Roman"/>
          <w:b/>
          <w:sz w:val="24"/>
          <w:szCs w:val="24"/>
        </w:rPr>
        <w:t>77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35440C">
        <w:rPr>
          <w:rFonts w:ascii="Times New Roman" w:hAnsi="Times New Roman" w:cs="Times New Roman"/>
          <w:b/>
          <w:sz w:val="24"/>
          <w:szCs w:val="24"/>
        </w:rPr>
        <w:t>680</w:t>
      </w:r>
      <w:r>
        <w:rPr>
          <w:rFonts w:ascii="Times New Roman" w:hAnsi="Times New Roman" w:cs="Times New Roman"/>
          <w:b/>
          <w:sz w:val="24"/>
          <w:szCs w:val="24"/>
        </w:rPr>
        <w:t>,00zł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 przetargu: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1E4AC9">
        <w:rPr>
          <w:rFonts w:ascii="Times New Roman" w:hAnsi="Times New Roman" w:cs="Times New Roman"/>
          <w:b/>
          <w:sz w:val="24"/>
          <w:szCs w:val="24"/>
        </w:rPr>
        <w:t>22.10.2019r.</w:t>
      </w:r>
      <w:r>
        <w:rPr>
          <w:rFonts w:ascii="Times New Roman" w:hAnsi="Times New Roman" w:cs="Times New Roman"/>
          <w:sz w:val="24"/>
          <w:szCs w:val="24"/>
        </w:rPr>
        <w:t xml:space="preserve"> o godz. </w:t>
      </w:r>
      <w:r w:rsidR="001E4AC9">
        <w:rPr>
          <w:rFonts w:ascii="Times New Roman" w:hAnsi="Times New Roman" w:cs="Times New Roman"/>
          <w:b/>
          <w:sz w:val="24"/>
          <w:szCs w:val="24"/>
        </w:rPr>
        <w:t>12.00</w:t>
      </w:r>
      <w:r>
        <w:rPr>
          <w:rFonts w:ascii="Times New Roman" w:hAnsi="Times New Roman" w:cs="Times New Roman"/>
          <w:sz w:val="24"/>
          <w:szCs w:val="24"/>
        </w:rPr>
        <w:t xml:space="preserve"> w sali </w:t>
      </w:r>
      <w:r w:rsidR="001E4AC9">
        <w:rPr>
          <w:rFonts w:ascii="Times New Roman" w:hAnsi="Times New Roman" w:cs="Times New Roman"/>
          <w:sz w:val="24"/>
          <w:szCs w:val="24"/>
        </w:rPr>
        <w:t>.P11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Szczecinie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Warunki uczestnictwa w przetargu:</w:t>
      </w:r>
    </w:p>
    <w:p w:rsidR="00676949" w:rsidRDefault="00676949" w:rsidP="0067694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wpłacenie wadium w pieniądzu w wysokości podanej jak wyżej,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banku PEKAO SA I O/Szczecin na rachunek </w:t>
      </w:r>
      <w:r>
        <w:rPr>
          <w:rFonts w:ascii="Times New Roman" w:hAnsi="Times New Roman" w:cs="Times New Roman"/>
          <w:b/>
          <w:sz w:val="24"/>
          <w:szCs w:val="24"/>
        </w:rPr>
        <w:t>28 1240 3813 1111 0000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4375 6360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dopiskiem </w:t>
      </w:r>
      <w:r>
        <w:rPr>
          <w:rFonts w:ascii="Times New Roman" w:hAnsi="Times New Roman" w:cs="Times New Roman"/>
          <w:b/>
          <w:sz w:val="24"/>
          <w:szCs w:val="24"/>
        </w:rPr>
        <w:t>„Wadium przetarg działka nr 2/11 obręb 4165”,</w:t>
      </w:r>
    </w:p>
    <w:p w:rsidR="00676949" w:rsidRDefault="00676949" w:rsidP="0067694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fizyczne i reprezentanci osób prawnych lub innych podmiotów wylegitymują się ważnym dowodem tożsamości,</w:t>
      </w:r>
    </w:p>
    <w:p w:rsidR="00676949" w:rsidRDefault="00676949" w:rsidP="0067694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przypadku osób fizycznych zamierzających nabyć nieruchomość w związku </w:t>
      </w:r>
      <w:r>
        <w:rPr>
          <w:rFonts w:ascii="Times New Roman" w:hAnsi="Times New Roman" w:cs="Times New Roman"/>
          <w:sz w:val="24"/>
          <w:szCs w:val="24"/>
        </w:rPr>
        <w:br/>
        <w:t>z prowadzoną działalnością gospodarczą – przedłożenie aktualnego wydruku z Centralnej Ewidencji i Informacji o Działalności Gospodarczej wygenerowanego nie wcześniej niż trzy miesiące przed upływem terminu składania ofert,</w:t>
      </w:r>
    </w:p>
    <w:p w:rsidR="00676949" w:rsidRDefault="00676949" w:rsidP="00676949">
      <w:pPr>
        <w:pStyle w:val="Akapitzlist"/>
        <w:numPr>
          <w:ilvl w:val="0"/>
          <w:numId w:val="5"/>
        </w:numPr>
        <w:tabs>
          <w:tab w:val="left" w:pos="284"/>
        </w:tabs>
        <w:spacing w:after="0" w:line="280" w:lineRule="atLeast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reprezentanci osób prawnych lub innych podmiotów stający do przetargu (podlegających rejestracji) – okażą dokument potwierdzający prawo do reprezentowania, </w:t>
      </w:r>
      <w:r>
        <w:rPr>
          <w:rFonts w:ascii="Times New Roman" w:hAnsi="Times New Roman" w:cs="Times New Roman"/>
          <w:sz w:val="24"/>
          <w:szCs w:val="24"/>
        </w:rPr>
        <w:br/>
        <w:t>tj. aktualny odpis zwykły z właściwego rejestru KRS (wydany nie wcześniej niż trzy miesiące przed terminem przetargu), statut lub umowę spółki, właściwe pełnomocnictwa,</w:t>
      </w:r>
    </w:p>
    <w:p w:rsidR="00676949" w:rsidRDefault="00676949" w:rsidP="0067694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dołączenie stosownych oświadczeń, promes lub zezwoleń na nabycie nieruchomości, </w:t>
      </w:r>
      <w:r>
        <w:rPr>
          <w:rFonts w:ascii="Times New Roman" w:hAnsi="Times New Roman" w:cs="Times New Roman"/>
          <w:sz w:val="24"/>
          <w:szCs w:val="24"/>
        </w:rPr>
        <w:br/>
        <w:t>o ile są wymagane.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biorą udział w przetargu osobiście lub przez pełnomocnika. Pełnomocnictwo wymaga formy pisemnej. Małżonkowie biorą udział w przetargu osobiście lub okazując pełnomocnictwo współmałżonka.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Wpłacenie wadium równoznaczne jest z zapoznaniem się z dokumentacją oraz regulaminem przetargu i przyjęciem ich bez zastrzeżeń.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jest ważny bez względu na liczbę uczestników jeżeli chociaż jeden uczestnik zaoferował jedno postąpienie powyżej ceny wywoławczej.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informuje uczestników przetargu o tym, że po trzecim wywołaniu najwyższej zaoferowanej ceny dalsze postąpienia nie zostaną przyjęte.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przetargu zgłaszają ustnie kolejne postąpienia, dopóki mimo trzykrotnego wywołania nie ma dalszych postąpień.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ustaniu zgłaszania postąpień przewodniczący komisji przetargowej wywołuje trzykrotnie ostatnią, najwyższą cenę i zamyka przetarg, a następnie ogłasza imię i nazwisko albo nazwę lub firmę uczestnika, który przetarg wygrał.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sporządza protokół z przebiegu przeprowadzonego przetargu, podpisywany przez członków komisji oraz uczestnika wyłonionego jako nabywca. Protokół z przeprowadzonego przetargu, po uzyskaniu akceptacji Zarządu Spółki, stanowi podstawę zawarcia aktu notarialnego sprzedaży prawa użytkowania wieczystego nieruchomości.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jest obowiązany zawiadamiać nabywcę o miejscu i terminie zawarcia umowy notarialnej, najpóźniej w ciągu 21 dni od dnia rozstrzygnięcia przetargu.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nabywca nie przystąpi bez usprawiedliwienia do zawarcia umowy w miejscu </w:t>
      </w:r>
      <w:r>
        <w:rPr>
          <w:rFonts w:ascii="Times New Roman" w:hAnsi="Times New Roman" w:cs="Times New Roman"/>
          <w:sz w:val="24"/>
          <w:szCs w:val="24"/>
        </w:rPr>
        <w:br/>
        <w:t>i terminie wskazanym w zawiadomieniu, organizator przetargu może odstąpić od zawarcia umowy, a wpłacone wadium ulegnie przepadkowi.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wniesione przez uczestnika, który przetarg wygrał, będzie zaliczone na poczet ceny zakupu nieruchomości.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Koszty umowy notarialnej (opłaty notarialne i sądowe) w całości ponosi </w:t>
      </w:r>
      <w:r>
        <w:rPr>
          <w:rFonts w:ascii="Times New Roman" w:hAnsi="Times New Roman" w:cs="Times New Roman"/>
          <w:b/>
          <w:sz w:val="24"/>
          <w:szCs w:val="24"/>
        </w:rPr>
        <w:t>Nabywca.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Nabywca jest zobowiązany do zapłaty ceny nabycia najpóźniej w chwili zawarcia umowy sprzedaży nieruchomości w formie aktu notarialnego. Do ceny nabycia zostanie doliczony podatek VAT, o ile będzie to wynikało z przepisów obowiązujących w chwili zawarcia umowy sprzedaży.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Wydanie przedmiotu przetargu nastąpi w dniu zawarcia umowy sprzedaży nieruchomości.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przetargu zastrzega sobie prawo odwołania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Przetarg uważa się za zakończony wynikiem negatywnym, jeżeli nikt nie przystąpił do przetargu lub żaden z uczestników nie zaoferował ceny nabycia wyższej od ceny wywoławczej o kwotę postąpienia.</w:t>
      </w:r>
    </w:p>
    <w:p w:rsidR="00676949" w:rsidRDefault="00676949" w:rsidP="00676949">
      <w:pPr>
        <w:pStyle w:val="Akapitzlist"/>
        <w:numPr>
          <w:ilvl w:val="0"/>
          <w:numId w:val="1"/>
        </w:numPr>
        <w:tabs>
          <w:tab w:val="left" w:pos="426"/>
        </w:tabs>
        <w:spacing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Odwołanie lub unieważnienie przetargu z uzasadnionych przyczyn, zamknięcie przetargu bądź zakończenie przetargu wynikiem negatywnym stanowi podstawę do niezwłocznego zwrotu oferentom wpłaconego wadium na wskazane przez nich konto. W przypadku zwrotu wadium oferentowi nie przysługuje prawo żądania odsetek od wpłaconego wadium.</w:t>
      </w:r>
    </w:p>
    <w:p w:rsidR="00676949" w:rsidRDefault="00676949" w:rsidP="00676949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76949" w:rsidRDefault="00676949" w:rsidP="00676949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76949" w:rsidRDefault="00676949" w:rsidP="00676949">
      <w:pPr>
        <w:pStyle w:val="Akapitzlist"/>
        <w:tabs>
          <w:tab w:val="left" w:pos="426"/>
        </w:tabs>
        <w:spacing w:line="32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Ważne dla komisji i uczestników postępowania:</w:t>
      </w:r>
    </w:p>
    <w:p w:rsidR="00676949" w:rsidRDefault="00676949" w:rsidP="00676949">
      <w:pPr>
        <w:pStyle w:val="Akapitzlist"/>
        <w:numPr>
          <w:ilvl w:val="0"/>
          <w:numId w:val="6"/>
        </w:numPr>
        <w:tabs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sporządzi protokół z czynności przeprowadzonego postępowania przetargowego.</w:t>
      </w:r>
    </w:p>
    <w:p w:rsidR="00676949" w:rsidRDefault="00676949" w:rsidP="00676949">
      <w:pPr>
        <w:pStyle w:val="Akapitzlist"/>
        <w:numPr>
          <w:ilvl w:val="0"/>
          <w:numId w:val="6"/>
        </w:numPr>
        <w:tabs>
          <w:tab w:val="left" w:pos="426"/>
        </w:tabs>
        <w:spacing w:line="320" w:lineRule="atLeast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protokole z przetargu należy dokładnie oznaczyć uczestników przetargu: imię </w:t>
      </w:r>
      <w:r>
        <w:rPr>
          <w:rFonts w:ascii="Times New Roman" w:hAnsi="Times New Roman" w:cs="Times New Roman"/>
          <w:sz w:val="24"/>
          <w:szCs w:val="24"/>
        </w:rPr>
        <w:br/>
        <w:t>i nazwisko (w przypadku przedsiębiorców firmę lub nazwę uczestnika przetargu).</w:t>
      </w:r>
    </w:p>
    <w:p w:rsidR="00676949" w:rsidRDefault="00676949" w:rsidP="00676949"/>
    <w:p w:rsidR="00907BCC" w:rsidRDefault="00907BCC"/>
    <w:sectPr w:rsidR="00907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4012D"/>
    <w:multiLevelType w:val="hybridMultilevel"/>
    <w:tmpl w:val="A40AC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E132D"/>
    <w:multiLevelType w:val="hybridMultilevel"/>
    <w:tmpl w:val="F09E7AE0"/>
    <w:lvl w:ilvl="0" w:tplc="7B28171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02DEB"/>
    <w:multiLevelType w:val="hybridMultilevel"/>
    <w:tmpl w:val="B56C8284"/>
    <w:lvl w:ilvl="0" w:tplc="79AC2A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B5778"/>
    <w:multiLevelType w:val="hybridMultilevel"/>
    <w:tmpl w:val="E468F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1314B"/>
    <w:multiLevelType w:val="hybridMultilevel"/>
    <w:tmpl w:val="99B8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3C5676"/>
    <w:multiLevelType w:val="hybridMultilevel"/>
    <w:tmpl w:val="938A901A"/>
    <w:lvl w:ilvl="0" w:tplc="E372407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49"/>
    <w:rsid w:val="001E4AC9"/>
    <w:rsid w:val="0035440C"/>
    <w:rsid w:val="003F7478"/>
    <w:rsid w:val="00676949"/>
    <w:rsid w:val="00694BAF"/>
    <w:rsid w:val="00907BCC"/>
    <w:rsid w:val="00A4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5D10"/>
  <w15:chartTrackingRefBased/>
  <w15:docId w15:val="{A98D57A0-D6F6-443A-AAB8-8BB7792A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94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1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1412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Agnieszka Przybylska-Kurylak</cp:lastModifiedBy>
  <cp:revision>5</cp:revision>
  <dcterms:created xsi:type="dcterms:W3CDTF">2019-08-23T06:02:00Z</dcterms:created>
  <dcterms:modified xsi:type="dcterms:W3CDTF">2019-09-17T07:35:00Z</dcterms:modified>
</cp:coreProperties>
</file>