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5EC" w:rsidRPr="00AB4EFC" w:rsidRDefault="001615EC" w:rsidP="00AB4EFC">
      <w:pPr>
        <w:widowControl/>
        <w:autoSpaceDE/>
        <w:autoSpaceDN/>
        <w:adjustRightInd/>
        <w:jc w:val="both"/>
        <w:rPr>
          <w:i w:val="0"/>
          <w:iCs w:val="0"/>
          <w:lang w:eastAsia="en-US" w:bidi="en-US"/>
        </w:rPr>
      </w:pPr>
      <w:r w:rsidRPr="00AB4EFC">
        <w:rPr>
          <w:i w:val="0"/>
          <w:iCs w:val="0"/>
          <w:lang w:eastAsia="en-US" w:bidi="en-US"/>
        </w:rPr>
        <w:t>W dniu 0</w:t>
      </w:r>
      <w:r w:rsidR="00227A43">
        <w:rPr>
          <w:i w:val="0"/>
          <w:iCs w:val="0"/>
          <w:lang w:eastAsia="en-US" w:bidi="en-US"/>
        </w:rPr>
        <w:t>5</w:t>
      </w:r>
      <w:r w:rsidRPr="00AB4EFC">
        <w:rPr>
          <w:i w:val="0"/>
          <w:iCs w:val="0"/>
          <w:lang w:eastAsia="en-US" w:bidi="en-US"/>
        </w:rPr>
        <w:t>.09.201</w:t>
      </w:r>
      <w:r w:rsidR="00AB4EFC" w:rsidRPr="00AB4EFC">
        <w:rPr>
          <w:i w:val="0"/>
          <w:iCs w:val="0"/>
          <w:lang w:eastAsia="en-US" w:bidi="en-US"/>
        </w:rPr>
        <w:t>8</w:t>
      </w:r>
      <w:r w:rsidRPr="00AB4EFC">
        <w:rPr>
          <w:i w:val="0"/>
          <w:iCs w:val="0"/>
          <w:lang w:eastAsia="en-US" w:bidi="en-US"/>
        </w:rPr>
        <w:t xml:space="preserve"> r. wpłynął wniosek o wyjaśnienie treści SIWZ pn. ”Dostawy energii elektrycznej na potrzeby obiektów ZWiK, </w:t>
      </w:r>
      <w:proofErr w:type="spellStart"/>
      <w:r w:rsidRPr="00AB4EFC">
        <w:rPr>
          <w:i w:val="0"/>
          <w:iCs w:val="0"/>
          <w:lang w:eastAsia="en-US" w:bidi="en-US"/>
        </w:rPr>
        <w:t>PWiK</w:t>
      </w:r>
      <w:proofErr w:type="spellEnd"/>
      <w:r w:rsidRPr="00AB4EFC">
        <w:rPr>
          <w:i w:val="0"/>
          <w:iCs w:val="0"/>
          <w:lang w:eastAsia="en-US" w:bidi="en-US"/>
        </w:rPr>
        <w:t>, TS, PSSE</w:t>
      </w:r>
      <w:r w:rsidR="00AB4EFC" w:rsidRPr="00AB4EFC">
        <w:rPr>
          <w:i w:val="0"/>
          <w:iCs w:val="0"/>
          <w:lang w:eastAsia="en-US" w:bidi="en-US"/>
        </w:rPr>
        <w:t xml:space="preserve">, stoczni Gryfia </w:t>
      </w:r>
      <w:r w:rsidRPr="00AB4EFC">
        <w:rPr>
          <w:i w:val="0"/>
          <w:iCs w:val="0"/>
          <w:lang w:eastAsia="en-US" w:bidi="en-US"/>
        </w:rPr>
        <w:t>i trzech portów na rok 201</w:t>
      </w:r>
      <w:r w:rsidR="00AB4EFC" w:rsidRPr="00AB4EFC">
        <w:rPr>
          <w:i w:val="0"/>
          <w:iCs w:val="0"/>
          <w:lang w:eastAsia="en-US" w:bidi="en-US"/>
        </w:rPr>
        <w:t>9</w:t>
      </w:r>
      <w:r w:rsidRPr="00AB4EFC">
        <w:rPr>
          <w:i w:val="0"/>
          <w:iCs w:val="0"/>
          <w:lang w:eastAsia="en-US" w:bidi="en-US"/>
        </w:rPr>
        <w:t>”. Zakład Wodociągów i Kanalizacji Sp. z o.o. z siedzibą w Szczecinie przedstawia odpowiedzi na zadane pytania.</w:t>
      </w:r>
    </w:p>
    <w:p w:rsidR="00561705" w:rsidRDefault="00561705" w:rsidP="00AB4EFC">
      <w:pPr>
        <w:rPr>
          <w:i w:val="0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1.</w:t>
      </w:r>
      <w:r w:rsidRPr="004C20E4">
        <w:rPr>
          <w:rFonts w:cs="Arial"/>
          <w:i w:val="0"/>
          <w:szCs w:val="24"/>
        </w:rPr>
        <w:t xml:space="preserve"> Czy Zamawiający dopuszcza możliwość doprecyzowania §4 ust. 2 poprzez określenie w Umowie wysokości bonifikat ponieważ zapis §42 ust. 1 Rozporządzenia Ministra Gospodarki z dnia 29 grudnia 2017r. </w:t>
      </w:r>
      <w:r w:rsidR="00715C33">
        <w:rPr>
          <w:rFonts w:cs="Arial"/>
          <w:i w:val="0"/>
          <w:szCs w:val="24"/>
        </w:rPr>
        <w:br/>
      </w:r>
      <w:r w:rsidRPr="004C20E4">
        <w:rPr>
          <w:rFonts w:cs="Arial"/>
          <w:i w:val="0"/>
          <w:szCs w:val="24"/>
        </w:rPr>
        <w:t xml:space="preserve">w sprawie szczegółowych zasad kształtowania i kalkulacji taryf oraz rozliczeń w obrocie energią elektryczną </w:t>
      </w:r>
      <w:r w:rsidR="00715C33">
        <w:rPr>
          <w:rFonts w:cs="Arial"/>
          <w:i w:val="0"/>
          <w:szCs w:val="24"/>
        </w:rPr>
        <w:br/>
      </w:r>
      <w:r w:rsidRPr="004C20E4">
        <w:rPr>
          <w:rFonts w:cs="Arial"/>
          <w:i w:val="0"/>
          <w:szCs w:val="24"/>
        </w:rPr>
        <w:t>(Dz. U. 2017 poz. 2500) nie pozwala na określenie ich wysokości dla przedsiębiorstw, które nie zatwierdzają taryf na energię elektryczną?</w:t>
      </w: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</w:t>
      </w:r>
      <w:r w:rsidRPr="004C20E4">
        <w:rPr>
          <w:rFonts w:cs="Arial"/>
          <w:b/>
          <w:i w:val="0"/>
          <w:szCs w:val="24"/>
        </w:rPr>
        <w:t>1.</w:t>
      </w:r>
    </w:p>
    <w:p w:rsidR="00227A43" w:rsidRPr="00675C37" w:rsidRDefault="004C20E4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675C37">
        <w:rPr>
          <w:rFonts w:cs="Arial"/>
          <w:i w:val="0"/>
          <w:szCs w:val="24"/>
        </w:rPr>
        <w:t>Zamawiający doprecyzuje postanowienia §4 ust. 2 zawarte we wzorach umów.</w:t>
      </w: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2.</w:t>
      </w:r>
      <w:r w:rsidRPr="004C20E4">
        <w:rPr>
          <w:rFonts w:cs="Arial"/>
          <w:i w:val="0"/>
          <w:szCs w:val="24"/>
        </w:rPr>
        <w:t xml:space="preserve"> Czy Zamawiający dopuszcza możliwość wprowadzenia zapisu umożliwiającego automatyczną zmianę cen, wynikającą ze zmiany stawki podatku VAT oraz przepisów prawa dotyczących wprowadzenia nowych praw majątkowych lub nowych obowiązków związanych z zakupem praw majątkowych lub certyfikatów dotyczących efektywności energetycznej (§8 ust. 3 pkt a), § 8 ust. 4-6 oraz §8 ust. 8)?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Wykonawca gwarantuje, że poinformuje Zamawiającego na piśmie o korekcie ceny wskazując równocześnie zmiany w przepisach prawa stanowiące jej podstawę. Nowe ceny energii elektrycznej będą obowiązywały Strony najwcześniej od chwili wejścia w życie zmian przepisów prawa.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</w:t>
      </w:r>
      <w:r w:rsidRPr="004C20E4">
        <w:rPr>
          <w:rFonts w:cs="Arial"/>
          <w:b/>
          <w:i w:val="0"/>
          <w:szCs w:val="24"/>
        </w:rPr>
        <w:t>2.</w:t>
      </w:r>
      <w:r w:rsidR="004C20E4" w:rsidRPr="004C20E4">
        <w:rPr>
          <w:rFonts w:cs="Arial"/>
          <w:b/>
          <w:i w:val="0"/>
          <w:szCs w:val="24"/>
        </w:rPr>
        <w:t xml:space="preserve"> </w:t>
      </w:r>
      <w:r w:rsidR="004C20E4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3.</w:t>
      </w:r>
      <w:r w:rsidRPr="004C20E4">
        <w:rPr>
          <w:rFonts w:cs="Arial"/>
          <w:i w:val="0"/>
          <w:szCs w:val="24"/>
        </w:rPr>
        <w:t xml:space="preserve"> Czy Zamawiający dopuszcza możliwość doprecyzowania zapisu §8 ust.3 lit. b) poprzez dodanie po słowach: ”lub po zmianie podmiotu będącego płatnikiem” słów: „nie ulegnie zmianie”?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3</w:t>
      </w:r>
      <w:r w:rsidRPr="004C20E4">
        <w:rPr>
          <w:rFonts w:cs="Arial"/>
          <w:b/>
          <w:i w:val="0"/>
          <w:szCs w:val="24"/>
        </w:rPr>
        <w:t>.</w:t>
      </w:r>
      <w:r w:rsidR="004C20E4">
        <w:rPr>
          <w:rFonts w:cs="Arial"/>
          <w:b/>
          <w:i w:val="0"/>
          <w:szCs w:val="24"/>
        </w:rPr>
        <w:t xml:space="preserve"> </w:t>
      </w:r>
      <w:r w:rsidR="004C20E4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4.</w:t>
      </w:r>
      <w:r w:rsidRPr="004C20E4">
        <w:rPr>
          <w:rFonts w:cs="Arial"/>
          <w:i w:val="0"/>
          <w:szCs w:val="24"/>
        </w:rPr>
        <w:t xml:space="preserve"> Czy Zamawiający dopuszcza możliwość doprecyzowania zapisu §8 ust. 13 pkt g) poprzez dodanie po zwrocie: „odsetek ustawowych” zwrotu: „za opóźnienie w transakcjach handlowych", które są bezwzględnie obowiązujące z mocy prawa? </w:t>
      </w:r>
    </w:p>
    <w:p w:rsidR="00227A43" w:rsidRDefault="00227A43" w:rsidP="004C20E4">
      <w:pPr>
        <w:widowControl/>
        <w:autoSpaceDE/>
        <w:autoSpaceDN/>
        <w:adjustRightInd/>
        <w:jc w:val="both"/>
        <w:rPr>
          <w:i w:val="0"/>
          <w:lang w:bidi="pl-PL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4</w:t>
      </w:r>
      <w:r w:rsidRPr="004C20E4">
        <w:rPr>
          <w:rFonts w:cs="Arial"/>
          <w:b/>
          <w:i w:val="0"/>
          <w:szCs w:val="24"/>
        </w:rPr>
        <w:t>.</w:t>
      </w:r>
      <w:r w:rsidR="004C20E4">
        <w:rPr>
          <w:rFonts w:cs="Arial"/>
          <w:b/>
          <w:i w:val="0"/>
          <w:szCs w:val="24"/>
        </w:rPr>
        <w:t xml:space="preserve"> </w:t>
      </w:r>
      <w:r w:rsidR="004C20E4" w:rsidRPr="004C20E4">
        <w:rPr>
          <w:i w:val="0"/>
          <w:lang w:bidi="pl-PL"/>
        </w:rPr>
        <w:t>Treść umów pozostaje bez zmian w przedmiotowym zakresie.</w:t>
      </w:r>
    </w:p>
    <w:p w:rsidR="004C20E4" w:rsidRPr="004C20E4" w:rsidRDefault="004C20E4" w:rsidP="004C20E4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5.</w:t>
      </w:r>
      <w:r w:rsidRPr="004C20E4">
        <w:rPr>
          <w:rFonts w:cs="Arial"/>
          <w:i w:val="0"/>
          <w:szCs w:val="24"/>
        </w:rPr>
        <w:t xml:space="preserve"> Czy Zamawiający dopuszcza możliwość zastąpienia §8 ust. 13 pkt h) zapisem o treści: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„Żadna ze Stron nie ma prawa dokonać przelewu swoich praw i/lub przeniesienia swoich obowiązków wynikających z Umowy na jakąkolwiek osobę trzecią bez uprzedniej pisemnej zgody drugiej Strony pod rygorem nieważności, z tym zastrzeżeniem, iż zgoda drugiej Strony nie jest wymagana wyłącznie na przeniesienie przez Stronę uprawnioną do otrzymania zapłaty wymagalnych wierzytelności pieniężnych przysługujących jej wobec drugiej Strony.”?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5</w:t>
      </w:r>
      <w:r w:rsidRPr="004C20E4">
        <w:rPr>
          <w:rFonts w:cs="Arial"/>
          <w:b/>
          <w:i w:val="0"/>
          <w:szCs w:val="24"/>
        </w:rPr>
        <w:t>.</w:t>
      </w:r>
      <w:r w:rsidR="004C20E4">
        <w:rPr>
          <w:rFonts w:cs="Arial"/>
          <w:b/>
          <w:i w:val="0"/>
          <w:szCs w:val="24"/>
        </w:rPr>
        <w:t xml:space="preserve"> </w:t>
      </w:r>
      <w:r w:rsidR="004C20E4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6.</w:t>
      </w:r>
      <w:r w:rsidRPr="004C20E4">
        <w:rPr>
          <w:rFonts w:cs="Arial"/>
          <w:i w:val="0"/>
          <w:szCs w:val="24"/>
        </w:rPr>
        <w:t xml:space="preserve"> Czy Zamawiający dopuszcza możliwość zastąpienia w §9 ust</w:t>
      </w:r>
      <w:r w:rsidR="00DE3FA2">
        <w:rPr>
          <w:rFonts w:cs="Arial"/>
          <w:i w:val="0"/>
          <w:szCs w:val="24"/>
        </w:rPr>
        <w:t>.</w:t>
      </w:r>
      <w:r w:rsidRPr="004C20E4">
        <w:rPr>
          <w:rFonts w:cs="Arial"/>
          <w:i w:val="0"/>
          <w:szCs w:val="24"/>
        </w:rPr>
        <w:t xml:space="preserve"> 1 zwrotu: </w:t>
      </w:r>
      <w:r w:rsidR="004C20E4">
        <w:rPr>
          <w:rFonts w:cs="Arial"/>
          <w:i w:val="0"/>
          <w:szCs w:val="24"/>
        </w:rPr>
        <w:t>„</w:t>
      </w:r>
      <w:r w:rsidRPr="004C20E4">
        <w:rPr>
          <w:rFonts w:cs="Arial"/>
          <w:i w:val="0"/>
          <w:szCs w:val="24"/>
        </w:rPr>
        <w:t>poniesionej szkody (straty)</w:t>
      </w:r>
      <w:r w:rsidR="004C20E4">
        <w:rPr>
          <w:rFonts w:cs="Arial"/>
          <w:i w:val="0"/>
          <w:szCs w:val="24"/>
        </w:rPr>
        <w:t>”</w:t>
      </w:r>
      <w:r w:rsidRPr="004C20E4">
        <w:rPr>
          <w:rFonts w:cs="Arial"/>
          <w:i w:val="0"/>
          <w:szCs w:val="24"/>
        </w:rPr>
        <w:t xml:space="preserve"> zwrotem: </w:t>
      </w:r>
      <w:r w:rsidR="004C20E4">
        <w:rPr>
          <w:rFonts w:cs="Arial"/>
          <w:i w:val="0"/>
          <w:szCs w:val="24"/>
        </w:rPr>
        <w:t>„</w:t>
      </w:r>
      <w:r w:rsidRPr="004C20E4">
        <w:rPr>
          <w:rFonts w:cs="Arial"/>
          <w:i w:val="0"/>
          <w:szCs w:val="24"/>
        </w:rPr>
        <w:t>do wysokości wynagrodzenia za zamówioną ilość energii elektrycznej, która nie została sprzedana Zamawiającemu z winy Wykonawcy</w:t>
      </w:r>
      <w:r w:rsidR="004C20E4">
        <w:rPr>
          <w:rFonts w:cs="Arial"/>
          <w:i w:val="0"/>
          <w:szCs w:val="24"/>
        </w:rPr>
        <w:t>”</w:t>
      </w:r>
      <w:r w:rsidRPr="004C20E4">
        <w:rPr>
          <w:rFonts w:cs="Arial"/>
          <w:i w:val="0"/>
          <w:szCs w:val="24"/>
        </w:rPr>
        <w:t>?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6</w:t>
      </w:r>
      <w:r w:rsidRPr="004C20E4">
        <w:rPr>
          <w:rFonts w:cs="Arial"/>
          <w:b/>
          <w:i w:val="0"/>
          <w:szCs w:val="24"/>
        </w:rPr>
        <w:t>.</w:t>
      </w:r>
      <w:r w:rsidR="00DE3FA2">
        <w:rPr>
          <w:rFonts w:cs="Arial"/>
          <w:b/>
          <w:i w:val="0"/>
          <w:szCs w:val="24"/>
        </w:rPr>
        <w:t xml:space="preserve"> </w:t>
      </w:r>
      <w:r w:rsidR="00DE3FA2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7.</w:t>
      </w:r>
      <w:r w:rsidRPr="004C20E4">
        <w:rPr>
          <w:rFonts w:cs="Arial"/>
          <w:i w:val="0"/>
          <w:szCs w:val="24"/>
        </w:rPr>
        <w:t xml:space="preserve"> Czy Zamawiający dopuszcza możliwość zaakceptowania zmiany zapisu §9 ust. 2 w zakresie obniżenia wysokości kary umownej do 10% i wprowadzenia jako podstawy naliczania kary wynagrodzenia za niezrealizowaną część Umowy z winy Zamawiającego, której dotyczy odstąpienie, z uwzględnieniem włączeń przewidzianych w § 6 umowy?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</w:t>
      </w:r>
      <w:r w:rsidRPr="004C20E4">
        <w:rPr>
          <w:rFonts w:cs="Arial"/>
          <w:b/>
          <w:i w:val="0"/>
          <w:szCs w:val="24"/>
        </w:rPr>
        <w:t>7.</w:t>
      </w:r>
      <w:r w:rsidR="00DE3FA2">
        <w:rPr>
          <w:rFonts w:cs="Arial"/>
          <w:b/>
          <w:i w:val="0"/>
          <w:szCs w:val="24"/>
        </w:rPr>
        <w:t xml:space="preserve"> </w:t>
      </w:r>
      <w:r w:rsidR="00DE3FA2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8.</w:t>
      </w:r>
      <w:r w:rsidRPr="004C20E4">
        <w:rPr>
          <w:rFonts w:cs="Arial"/>
          <w:i w:val="0"/>
          <w:szCs w:val="24"/>
        </w:rPr>
        <w:t xml:space="preserve"> Czy Zamawiający dopuszcza możliwość doprecyzowania zapisu §9 ust. 3 poprzez dodanie na końcu zdania zapisu o treści:</w:t>
      </w:r>
    </w:p>
    <w:p w:rsidR="00227A43" w:rsidRPr="004C20E4" w:rsidRDefault="00DE3FA2" w:rsidP="00227A43">
      <w:pPr>
        <w:jc w:val="both"/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„</w:t>
      </w:r>
      <w:r w:rsidR="00227A43" w:rsidRPr="004C20E4">
        <w:rPr>
          <w:rFonts w:cs="Arial"/>
          <w:i w:val="0"/>
          <w:szCs w:val="24"/>
        </w:rPr>
        <w:t>(...) do wysokości wynagrodzenia za zamówioną ilość energii elektrycznej, która nie została sprzedana Zamawiającemu z winy Wykonawcy.</w:t>
      </w:r>
      <w:r>
        <w:rPr>
          <w:rFonts w:cs="Arial"/>
          <w:i w:val="0"/>
          <w:szCs w:val="24"/>
        </w:rPr>
        <w:t>”</w:t>
      </w:r>
      <w:r w:rsidR="00227A43" w:rsidRPr="004C20E4">
        <w:rPr>
          <w:rFonts w:cs="Arial"/>
          <w:i w:val="0"/>
          <w:szCs w:val="24"/>
        </w:rPr>
        <w:t xml:space="preserve"> ?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8</w:t>
      </w:r>
      <w:r w:rsidRPr="004C20E4">
        <w:rPr>
          <w:rFonts w:cs="Arial"/>
          <w:b/>
          <w:i w:val="0"/>
          <w:szCs w:val="24"/>
        </w:rPr>
        <w:t>.</w:t>
      </w:r>
      <w:r w:rsidR="00DE3FA2">
        <w:rPr>
          <w:rFonts w:cs="Arial"/>
          <w:b/>
          <w:i w:val="0"/>
          <w:szCs w:val="24"/>
        </w:rPr>
        <w:t xml:space="preserve"> </w:t>
      </w:r>
      <w:r w:rsidR="00DE3FA2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9.</w:t>
      </w:r>
      <w:r w:rsidRPr="004C20E4">
        <w:rPr>
          <w:rFonts w:cs="Arial"/>
          <w:i w:val="0"/>
          <w:szCs w:val="24"/>
        </w:rPr>
        <w:t xml:space="preserve"> Czy Zamawiający dopuszcza możliwość doprecyzowania zapisu §11 ust. 7 poprzez usunięcie słów „(...) pomimo uprzedniego powiadomienia o zamiarze wypowiedzenia umowy i wyznaczenia dodatkowego dwutygodniowego terminu do zapłaty wymagalnych należności?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Wykonawca informuje jednocześnie, że wstrzymanie dostaw energii elektrycznej może nastąpić zgodnie z Art. 6b Ustawy prawo energetyczne.</w:t>
      </w:r>
    </w:p>
    <w:p w:rsidR="00227A43" w:rsidRPr="004C20E4" w:rsidRDefault="00227A43" w:rsidP="00227A43">
      <w:pPr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lastRenderedPageBreak/>
        <w:t xml:space="preserve">Obowiązek pisemnego powiadomienia o zamiarze wstrzymania dostaw oraz wyznaczenie dodatkowego </w:t>
      </w:r>
      <w:r w:rsidR="00DE3FA2">
        <w:rPr>
          <w:rFonts w:cs="Arial"/>
          <w:i w:val="0"/>
          <w:szCs w:val="24"/>
        </w:rPr>
        <w:br/>
      </w:r>
      <w:r w:rsidRPr="004C20E4">
        <w:rPr>
          <w:rFonts w:cs="Arial"/>
          <w:i w:val="0"/>
          <w:szCs w:val="24"/>
        </w:rPr>
        <w:t xml:space="preserve">14-dniowego terminu na zapłatę należności dotyczy jednie odbiorców w gospodarstwach domowych. Przepisy ustawy nie nakładają natomiast takiego obowiązku w przypadku pozostałej grupy odbiorców. W związku </w:t>
      </w:r>
      <w:r w:rsidR="00DE3FA2">
        <w:rPr>
          <w:rFonts w:cs="Arial"/>
          <w:i w:val="0"/>
          <w:szCs w:val="24"/>
        </w:rPr>
        <w:br/>
      </w:r>
      <w:r w:rsidRPr="004C20E4">
        <w:rPr>
          <w:rFonts w:cs="Arial"/>
          <w:i w:val="0"/>
          <w:szCs w:val="24"/>
        </w:rPr>
        <w:t>z powyższym Wykonawca zwraca się z prośbą o dostosowanie przedmiotowego zapisu do treści zgodnej z ustawą Prawo energetyczne.</w:t>
      </w:r>
    </w:p>
    <w:p w:rsidR="00227A43" w:rsidRPr="004C20E4" w:rsidRDefault="00227A43" w:rsidP="00227A43">
      <w:pPr>
        <w:jc w:val="both"/>
        <w:rPr>
          <w:rFonts w:cs="Arial"/>
          <w:b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Odpowiedź</w:t>
      </w:r>
      <w:r w:rsidRPr="004C20E4">
        <w:rPr>
          <w:b/>
          <w:i w:val="0"/>
        </w:rPr>
        <w:t> 9</w:t>
      </w:r>
      <w:r w:rsidRPr="004C20E4">
        <w:rPr>
          <w:rFonts w:cs="Arial"/>
          <w:b/>
          <w:i w:val="0"/>
          <w:szCs w:val="24"/>
        </w:rPr>
        <w:t>.</w:t>
      </w:r>
      <w:r w:rsidR="00DE3FA2">
        <w:rPr>
          <w:rFonts w:cs="Arial"/>
          <w:b/>
          <w:i w:val="0"/>
          <w:szCs w:val="24"/>
        </w:rPr>
        <w:t xml:space="preserve"> </w:t>
      </w:r>
      <w:r w:rsidR="00DE3FA2" w:rsidRPr="004C20E4">
        <w:rPr>
          <w:i w:val="0"/>
          <w:lang w:bidi="pl-PL"/>
        </w:rPr>
        <w:t>Treść umów pozostaje bez zmian w przedmiotowym zakresie.</w:t>
      </w:r>
    </w:p>
    <w:p w:rsidR="00227A43" w:rsidRPr="004C20E4" w:rsidRDefault="00227A43" w:rsidP="00227A43">
      <w:pPr>
        <w:pStyle w:val="Akapitzlist"/>
        <w:ind w:left="0"/>
        <w:rPr>
          <w:rFonts w:cs="Arial"/>
        </w:rPr>
      </w:pPr>
    </w:p>
    <w:p w:rsidR="00227A43" w:rsidRPr="004C20E4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10.</w:t>
      </w:r>
      <w:r w:rsidRPr="004C20E4">
        <w:rPr>
          <w:rFonts w:cs="Arial"/>
          <w:i w:val="0"/>
          <w:szCs w:val="24"/>
        </w:rPr>
        <w:t xml:space="preserve"> Czy Zamawiający dopuszcza możliwość doprecyzowania czy posiada aktualnie umowy kompleksowe na sprzedaż energii elektrycznej i świadczenie usług dystrybucji? Jeśli tak, to czy:</w:t>
      </w:r>
    </w:p>
    <w:p w:rsidR="00227A43" w:rsidRPr="004C20E4" w:rsidRDefault="00227A43" w:rsidP="00227A43">
      <w:pPr>
        <w:widowControl/>
        <w:numPr>
          <w:ilvl w:val="1"/>
          <w:numId w:val="2"/>
        </w:numPr>
        <w:autoSpaceDE/>
        <w:autoSpaceDN/>
        <w:adjustRightInd/>
        <w:ind w:left="426"/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Zamawiający samodzielnie wypowie obowiązujące umowy w terminach pozwalających na skuteczne przeprowadzenie procedury zmiany sprzedawcy czy tez upoważni do tej czynności Wykonawcę oraz jaki jest okres wypowiedzenia obowiązujących umów kompleksowych?</w:t>
      </w:r>
    </w:p>
    <w:p w:rsidR="00227A43" w:rsidRPr="004C20E4" w:rsidRDefault="00227A43" w:rsidP="00227A43">
      <w:pPr>
        <w:widowControl/>
        <w:numPr>
          <w:ilvl w:val="1"/>
          <w:numId w:val="2"/>
        </w:numPr>
        <w:autoSpaceDE/>
        <w:autoSpaceDN/>
        <w:adjustRightInd/>
        <w:ind w:left="426"/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Zamawiający samodzielnie zawrze umowy o świadczenie usług dystrybucji w terminach pozwalających na skuteczne przeprowadzenie procedury zmiany sprzedawcy czy tez upoważni Wykonawcę do podjęcia działań związanych z zawarciem umowy dystrybucyjnej (wraz z upoważnieniem do jej podpisania) a także dokonywania wszelkich innych czynności niezbędnych do prawidłowej realizacji Umowy, w tym składania oświadczeń woli związanych z procedurą zmiany sprzedawcy?</w:t>
      </w:r>
    </w:p>
    <w:p w:rsidR="00227A43" w:rsidRPr="004C20E4" w:rsidRDefault="00227A43" w:rsidP="00227A43">
      <w:pPr>
        <w:widowControl/>
        <w:numPr>
          <w:ilvl w:val="1"/>
          <w:numId w:val="2"/>
        </w:numPr>
        <w:autoSpaceDE/>
        <w:autoSpaceDN/>
        <w:adjustRightInd/>
        <w:ind w:left="426"/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 xml:space="preserve">Kto jest dotychczasowym sprzedawcą energii elektrycznej? </w:t>
      </w:r>
    </w:p>
    <w:p w:rsidR="00227A43" w:rsidRPr="004C20E4" w:rsidRDefault="00227A43" w:rsidP="00227A43">
      <w:pPr>
        <w:widowControl/>
        <w:numPr>
          <w:ilvl w:val="1"/>
          <w:numId w:val="2"/>
        </w:numPr>
        <w:autoSpaceDE/>
        <w:autoSpaceDN/>
        <w:adjustRightInd/>
        <w:ind w:left="426"/>
        <w:jc w:val="both"/>
        <w:rPr>
          <w:rFonts w:cs="Arial"/>
          <w:i w:val="0"/>
          <w:szCs w:val="24"/>
        </w:rPr>
      </w:pPr>
      <w:r w:rsidRPr="004C20E4">
        <w:rPr>
          <w:rFonts w:cs="Arial"/>
          <w:i w:val="0"/>
          <w:szCs w:val="24"/>
        </w:rPr>
        <w:t>Czy Zamawiający ma zawarte umowy/aneksy w ramach akcji promocyjnych lojalnościowych, które uniemożliwiają zawarcie nowej umowy sprzedażowej w terminach przewidzianych w SIWZ? Jeśli tak - jakie są terminy wypowiedzeń umów/aneksów w ramach akcji promocyjnych/programów lojalnościowych?</w:t>
      </w:r>
    </w:p>
    <w:p w:rsidR="00227A43" w:rsidRPr="004C20E4" w:rsidRDefault="00227A43" w:rsidP="00227A43">
      <w:pPr>
        <w:jc w:val="both"/>
        <w:rPr>
          <w:rFonts w:cs="Arial"/>
          <w:b/>
          <w:i w:val="0"/>
        </w:rPr>
      </w:pPr>
      <w:r w:rsidRPr="004C20E4">
        <w:rPr>
          <w:rFonts w:cs="Arial"/>
          <w:b/>
          <w:i w:val="0"/>
        </w:rPr>
        <w:t>Odpowiedź</w:t>
      </w:r>
      <w:r w:rsidRPr="004C20E4">
        <w:rPr>
          <w:b/>
          <w:i w:val="0"/>
        </w:rPr>
        <w:t> 10.</w:t>
      </w:r>
    </w:p>
    <w:p w:rsidR="00227A43" w:rsidRDefault="00DE3FA2" w:rsidP="00227A43">
      <w:pPr>
        <w:rPr>
          <w:rFonts w:cs="Arial"/>
          <w:i w:val="0"/>
        </w:rPr>
      </w:pPr>
      <w:r>
        <w:rPr>
          <w:rFonts w:cs="Arial"/>
          <w:i w:val="0"/>
        </w:rPr>
        <w:t>Zamawiający nie posiada zawartych umów kompleksowych.</w:t>
      </w:r>
    </w:p>
    <w:p w:rsidR="00DE3FA2" w:rsidRPr="004C20E4" w:rsidRDefault="00DE3FA2" w:rsidP="00227A43">
      <w:pPr>
        <w:rPr>
          <w:rFonts w:cs="Arial"/>
          <w:i w:val="0"/>
        </w:rPr>
      </w:pPr>
    </w:p>
    <w:p w:rsidR="00227A43" w:rsidRPr="00DE3FA2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4C20E4">
        <w:rPr>
          <w:rFonts w:cs="Arial"/>
          <w:b/>
          <w:i w:val="0"/>
          <w:szCs w:val="24"/>
        </w:rPr>
        <w:t>Pytanie</w:t>
      </w:r>
      <w:r w:rsidRPr="004C20E4">
        <w:rPr>
          <w:i w:val="0"/>
        </w:rPr>
        <w:t> </w:t>
      </w:r>
      <w:r w:rsidRPr="004C20E4">
        <w:rPr>
          <w:rFonts w:cs="Arial"/>
          <w:b/>
          <w:i w:val="0"/>
          <w:szCs w:val="24"/>
        </w:rPr>
        <w:t>11.</w:t>
      </w:r>
      <w:r w:rsidRPr="004C20E4">
        <w:rPr>
          <w:rFonts w:cs="Arial"/>
          <w:i w:val="0"/>
          <w:szCs w:val="24"/>
        </w:rPr>
        <w:t xml:space="preserve"> Czy Zamawiający dopuszcza możliwość przekazania Wykonawcy w terminie 25 dni przed rozpoczęciem sprzedaży energii elektrycznej prawidłowe i niezbędne dane w wersji elektronicznej (np. w programie Excel) celem skutecznego przeprowadzenia procedury zmiany sprzedawcy dla danego PPE i </w:t>
      </w:r>
      <w:r w:rsidRPr="00DE3FA2">
        <w:rPr>
          <w:rFonts w:cs="Arial"/>
          <w:i w:val="0"/>
          <w:szCs w:val="24"/>
        </w:rPr>
        <w:t>terminowego rozpoczęcia w nim sprzedaży?</w:t>
      </w:r>
    </w:p>
    <w:p w:rsidR="00227A43" w:rsidRPr="00DE3FA2" w:rsidRDefault="00227A43" w:rsidP="00227A43">
      <w:pPr>
        <w:jc w:val="both"/>
        <w:rPr>
          <w:rFonts w:cs="Arial"/>
          <w:b/>
          <w:i w:val="0"/>
        </w:rPr>
      </w:pPr>
      <w:r w:rsidRPr="00DE3FA2">
        <w:rPr>
          <w:rFonts w:cs="Arial"/>
          <w:b/>
          <w:i w:val="0"/>
        </w:rPr>
        <w:t>Odpowiedź</w:t>
      </w:r>
      <w:r w:rsidRPr="00DE3FA2">
        <w:rPr>
          <w:b/>
          <w:i w:val="0"/>
        </w:rPr>
        <w:t> 11.</w:t>
      </w:r>
      <w:r w:rsidR="00DE3FA2" w:rsidRPr="00DE3FA2">
        <w:rPr>
          <w:b/>
          <w:i w:val="0"/>
        </w:rPr>
        <w:t xml:space="preserve"> </w:t>
      </w:r>
      <w:r w:rsidR="00DE3FA2" w:rsidRPr="00DE3FA2">
        <w:rPr>
          <w:i w:val="0"/>
          <w:color w:val="000000"/>
          <w:lang w:bidi="pl-PL"/>
        </w:rPr>
        <w:t xml:space="preserve">Zamawiający przekaże dane do przeprowadzenia procedury zmiany sprzedawcy w wersji elektronicznej, na formularzu wskazanym przez </w:t>
      </w:r>
      <w:r w:rsidR="00715C33">
        <w:rPr>
          <w:i w:val="0"/>
          <w:color w:val="000000"/>
          <w:lang w:bidi="pl-PL"/>
        </w:rPr>
        <w:t xml:space="preserve">wybranego </w:t>
      </w:r>
      <w:r w:rsidR="00DE3FA2" w:rsidRPr="00DE3FA2">
        <w:rPr>
          <w:i w:val="0"/>
          <w:color w:val="000000"/>
          <w:lang w:bidi="pl-PL"/>
        </w:rPr>
        <w:t>Wykonawcę</w:t>
      </w:r>
      <w:r w:rsidR="00DE3FA2">
        <w:rPr>
          <w:i w:val="0"/>
          <w:color w:val="000000"/>
          <w:lang w:bidi="pl-PL"/>
        </w:rPr>
        <w:t>,</w:t>
      </w:r>
      <w:r w:rsidR="00DE3FA2" w:rsidRPr="00DE3FA2">
        <w:rPr>
          <w:i w:val="0"/>
          <w:color w:val="000000"/>
          <w:lang w:bidi="pl-PL"/>
        </w:rPr>
        <w:t xml:space="preserve"> </w:t>
      </w:r>
      <w:r w:rsidR="00DE3FA2">
        <w:rPr>
          <w:i w:val="0"/>
          <w:color w:val="000000"/>
          <w:lang w:bidi="pl-PL"/>
        </w:rPr>
        <w:t>niezwłocznie</w:t>
      </w:r>
      <w:r w:rsidR="00DE3FA2" w:rsidRPr="00DE3FA2">
        <w:rPr>
          <w:i w:val="0"/>
          <w:color w:val="000000"/>
          <w:lang w:bidi="pl-PL"/>
        </w:rPr>
        <w:t>.</w:t>
      </w:r>
    </w:p>
    <w:p w:rsidR="00227A43" w:rsidRPr="00DE3FA2" w:rsidRDefault="00227A43" w:rsidP="00227A43">
      <w:pPr>
        <w:jc w:val="both"/>
        <w:rPr>
          <w:rFonts w:cs="Arial"/>
          <w:i w:val="0"/>
          <w:szCs w:val="24"/>
        </w:rPr>
      </w:pPr>
    </w:p>
    <w:p w:rsidR="00227A43" w:rsidRPr="00715C33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715C33">
        <w:rPr>
          <w:rFonts w:cs="Arial"/>
          <w:b/>
          <w:i w:val="0"/>
          <w:szCs w:val="24"/>
        </w:rPr>
        <w:t>Pytanie</w:t>
      </w:r>
      <w:r w:rsidRPr="00715C33">
        <w:rPr>
          <w:i w:val="0"/>
        </w:rPr>
        <w:t> </w:t>
      </w:r>
      <w:r w:rsidRPr="00715C33">
        <w:rPr>
          <w:rFonts w:cs="Arial"/>
          <w:b/>
          <w:i w:val="0"/>
          <w:szCs w:val="24"/>
        </w:rPr>
        <w:t>12.</w:t>
      </w:r>
      <w:r w:rsidRPr="00715C33">
        <w:rPr>
          <w:rFonts w:cs="Arial"/>
          <w:i w:val="0"/>
          <w:szCs w:val="24"/>
        </w:rPr>
        <w:t xml:space="preserve"> Czy Zamawiający dopuszcza możliwość udzielenia Wykonawcy pełnomocnictwa w celu przeprowadzenia procedury zmiany sprzedawcy zgodnie z załączonym wzorem?</w:t>
      </w:r>
    </w:p>
    <w:p w:rsidR="00227A43" w:rsidRPr="00715C33" w:rsidRDefault="00227A43" w:rsidP="00227A43">
      <w:pPr>
        <w:jc w:val="both"/>
        <w:rPr>
          <w:rFonts w:cs="Arial"/>
          <w:b/>
          <w:i w:val="0"/>
        </w:rPr>
      </w:pPr>
      <w:r w:rsidRPr="00715C33">
        <w:rPr>
          <w:rFonts w:cs="Arial"/>
          <w:b/>
          <w:i w:val="0"/>
        </w:rPr>
        <w:t>Odpowiedź</w:t>
      </w:r>
      <w:r w:rsidRPr="00715C33">
        <w:rPr>
          <w:b/>
          <w:i w:val="0"/>
        </w:rPr>
        <w:t> 12.</w:t>
      </w:r>
      <w:r w:rsidR="00715C33" w:rsidRPr="00715C33">
        <w:rPr>
          <w:b/>
          <w:i w:val="0"/>
        </w:rPr>
        <w:t xml:space="preserve"> </w:t>
      </w:r>
      <w:r w:rsidR="00715C33" w:rsidRPr="00715C33">
        <w:rPr>
          <w:i w:val="0"/>
        </w:rPr>
        <w:t xml:space="preserve">Zamawiający udzieli Wykonawcy </w:t>
      </w:r>
      <w:r w:rsidR="00715C33" w:rsidRPr="00715C33">
        <w:rPr>
          <w:i w:val="0"/>
          <w:color w:val="000000"/>
          <w:lang w:bidi="pl-PL"/>
        </w:rPr>
        <w:t>stosownego pełnomocnictwa o treści uzgodnionej przez strony, sformułowanego na podstawie wzoru stosowanego przez Wykonawcę.</w:t>
      </w:r>
    </w:p>
    <w:p w:rsidR="00227A43" w:rsidRPr="00715C33" w:rsidRDefault="00227A43" w:rsidP="00227A43">
      <w:pPr>
        <w:jc w:val="both"/>
        <w:rPr>
          <w:rFonts w:cs="Arial"/>
          <w:i w:val="0"/>
        </w:rPr>
      </w:pPr>
    </w:p>
    <w:p w:rsidR="00227A43" w:rsidRPr="00715C33" w:rsidRDefault="00227A43" w:rsidP="00227A43">
      <w:pPr>
        <w:widowControl/>
        <w:autoSpaceDE/>
        <w:autoSpaceDN/>
        <w:adjustRightInd/>
        <w:jc w:val="both"/>
        <w:rPr>
          <w:rFonts w:cs="Arial"/>
          <w:i w:val="0"/>
          <w:szCs w:val="24"/>
        </w:rPr>
      </w:pPr>
      <w:r w:rsidRPr="00715C33">
        <w:rPr>
          <w:rFonts w:cs="Arial"/>
          <w:b/>
          <w:i w:val="0"/>
          <w:szCs w:val="24"/>
        </w:rPr>
        <w:t>Pytanie</w:t>
      </w:r>
      <w:r w:rsidRPr="00715C33">
        <w:rPr>
          <w:i w:val="0"/>
        </w:rPr>
        <w:t> </w:t>
      </w:r>
      <w:r w:rsidRPr="00715C33">
        <w:rPr>
          <w:rFonts w:cs="Arial"/>
          <w:b/>
          <w:i w:val="0"/>
          <w:szCs w:val="24"/>
        </w:rPr>
        <w:t>13.</w:t>
      </w:r>
      <w:r w:rsidRPr="00715C33">
        <w:rPr>
          <w:rFonts w:cs="Arial"/>
          <w:i w:val="0"/>
          <w:szCs w:val="24"/>
        </w:rPr>
        <w:t xml:space="preserve"> Czy Zamawiający dopuszcza możliwość podpisania umowy z Wykonawcą drogą korespondencyjną?</w:t>
      </w:r>
    </w:p>
    <w:p w:rsidR="00227A43" w:rsidRPr="00715C33" w:rsidRDefault="00227A43" w:rsidP="00227A43">
      <w:pPr>
        <w:jc w:val="both"/>
        <w:rPr>
          <w:rFonts w:cs="Arial"/>
          <w:b/>
          <w:i w:val="0"/>
        </w:rPr>
      </w:pPr>
      <w:r w:rsidRPr="00715C33">
        <w:rPr>
          <w:rFonts w:cs="Arial"/>
          <w:b/>
          <w:i w:val="0"/>
        </w:rPr>
        <w:t>Odpowiedź</w:t>
      </w:r>
      <w:r w:rsidRPr="00715C33">
        <w:rPr>
          <w:b/>
          <w:i w:val="0"/>
        </w:rPr>
        <w:t> 13.</w:t>
      </w:r>
      <w:r w:rsidR="00715C33" w:rsidRPr="00715C33">
        <w:rPr>
          <w:b/>
          <w:i w:val="0"/>
        </w:rPr>
        <w:t xml:space="preserve"> </w:t>
      </w:r>
      <w:r w:rsidR="00715C33" w:rsidRPr="00715C33">
        <w:rPr>
          <w:i w:val="0"/>
          <w:color w:val="000000"/>
        </w:rPr>
        <w:t>Zamawiający dopuszcza podpisanie umowy drogą korespondencyjną</w:t>
      </w:r>
      <w:r w:rsidR="00715C33" w:rsidRPr="00715C33">
        <w:rPr>
          <w:i w:val="0"/>
        </w:rPr>
        <w:t>.</w:t>
      </w:r>
    </w:p>
    <w:p w:rsidR="00227A43" w:rsidRPr="00715C33" w:rsidRDefault="00227A43" w:rsidP="00AB4EFC">
      <w:pPr>
        <w:rPr>
          <w:i w:val="0"/>
        </w:rPr>
      </w:pPr>
    </w:p>
    <w:p w:rsidR="00675C37" w:rsidRDefault="00675C37" w:rsidP="00AB4EFC">
      <w:pPr>
        <w:rPr>
          <w:i w:val="0"/>
        </w:rPr>
        <w:sectPr w:rsidR="00675C37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7A43" w:rsidRPr="002D0034" w:rsidRDefault="00675C37" w:rsidP="00AB4EFC">
      <w:pPr>
        <w:rPr>
          <w:b/>
          <w:i w:val="0"/>
        </w:rPr>
      </w:pPr>
      <w:r w:rsidRPr="002D0034">
        <w:rPr>
          <w:b/>
          <w:i w:val="0"/>
        </w:rPr>
        <w:lastRenderedPageBreak/>
        <w:t>Uwagi do odpowiedzi</w:t>
      </w:r>
    </w:p>
    <w:p w:rsidR="00B23F70" w:rsidRDefault="00B23F70" w:rsidP="002D0034">
      <w:pPr>
        <w:jc w:val="both"/>
        <w:rPr>
          <w:b/>
          <w:i w:val="0"/>
        </w:rPr>
      </w:pPr>
    </w:p>
    <w:p w:rsidR="002D0034" w:rsidRPr="002D0034" w:rsidRDefault="00D42CE4" w:rsidP="002D0034">
      <w:pPr>
        <w:jc w:val="both"/>
        <w:rPr>
          <w:i w:val="0"/>
        </w:rPr>
      </w:pPr>
      <w:r>
        <w:rPr>
          <w:b/>
          <w:i w:val="0"/>
        </w:rPr>
        <w:t>Pytanie</w:t>
      </w:r>
      <w:r w:rsidR="00675C37" w:rsidRPr="002D0034">
        <w:rPr>
          <w:b/>
          <w:i w:val="0"/>
        </w:rPr>
        <w:t xml:space="preserve"> 1.</w:t>
      </w:r>
      <w:r w:rsidR="00675C37">
        <w:rPr>
          <w:i w:val="0"/>
        </w:rPr>
        <w:t xml:space="preserve"> System bonifikat </w:t>
      </w:r>
      <w:r w:rsidR="002D0034">
        <w:rPr>
          <w:i w:val="0"/>
        </w:rPr>
        <w:t xml:space="preserve">za niedotrzymanie standardów </w:t>
      </w:r>
      <w:r w:rsidR="00675C37" w:rsidRPr="00675C37">
        <w:rPr>
          <w:i w:val="0"/>
        </w:rPr>
        <w:t>bazuje na wysokości przeciętnego wynagrodzenia w gospodarce narodowej w roku kalendarzowym poprzedzającym rok zatwierdzenia taryfy</w:t>
      </w:r>
      <w:r w:rsidR="00675C37">
        <w:rPr>
          <w:i w:val="0"/>
        </w:rPr>
        <w:t>. Przykładowo</w:t>
      </w:r>
      <w:r w:rsidR="002D0034" w:rsidRPr="002D0034">
        <w:rPr>
          <w:i w:val="0"/>
        </w:rPr>
        <w:t xml:space="preserve"> § 42. pkt.1)</w:t>
      </w:r>
      <w:r w:rsidR="002D0034">
        <w:rPr>
          <w:i w:val="0"/>
        </w:rPr>
        <w:t xml:space="preserve"> rozporządzenia brzmi:</w:t>
      </w:r>
    </w:p>
    <w:p w:rsidR="00675C37" w:rsidRPr="002D0034" w:rsidRDefault="002D0034" w:rsidP="002D003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D0034">
        <w:rPr>
          <w:rFonts w:ascii="Times New Roman" w:hAnsi="Times New Roman" w:cs="Times New Roman"/>
          <w:i/>
          <w:sz w:val="20"/>
          <w:szCs w:val="20"/>
        </w:rPr>
        <w:t xml:space="preserve">za nieprzyjęcie zgłoszeń lub reklamacji od odbiorcy – w wysokości 1/50 przeciętnego wynagrodzenia </w:t>
      </w:r>
      <w:r>
        <w:rPr>
          <w:rFonts w:ascii="Times New Roman" w:hAnsi="Times New Roman" w:cs="Times New Roman"/>
          <w:i/>
          <w:sz w:val="20"/>
          <w:szCs w:val="20"/>
        </w:rPr>
        <w:br/>
      </w:r>
      <w:r w:rsidRPr="002D0034">
        <w:rPr>
          <w:rFonts w:ascii="Times New Roman" w:hAnsi="Times New Roman" w:cs="Times New Roman"/>
          <w:i/>
          <w:sz w:val="20"/>
          <w:szCs w:val="20"/>
        </w:rPr>
        <w:t xml:space="preserve">w gospodarce narodowej w roku kalendarzowym poprzedzającym rok zatwierdzenia taryfy, określonego </w:t>
      </w:r>
      <w:r>
        <w:rPr>
          <w:rFonts w:ascii="Times New Roman" w:hAnsi="Times New Roman" w:cs="Times New Roman"/>
          <w:i/>
          <w:sz w:val="20"/>
          <w:szCs w:val="20"/>
        </w:rPr>
        <w:br/>
      </w:r>
      <w:r w:rsidRPr="002D0034">
        <w:rPr>
          <w:rFonts w:ascii="Times New Roman" w:hAnsi="Times New Roman" w:cs="Times New Roman"/>
          <w:i/>
          <w:sz w:val="20"/>
          <w:szCs w:val="20"/>
        </w:rPr>
        <w:t>w komunikacie Prezesa Głównego Urzędu Statystycznego ogłaszanym w Dzienniku Urzędowym Rzeczypospolitej Polskiej „Monitor Polski”</w:t>
      </w:r>
    </w:p>
    <w:p w:rsidR="002D0034" w:rsidRDefault="002D0034" w:rsidP="002D0034">
      <w:pPr>
        <w:jc w:val="both"/>
        <w:rPr>
          <w:i w:val="0"/>
        </w:rPr>
      </w:pPr>
      <w:r>
        <w:rPr>
          <w:i w:val="0"/>
        </w:rPr>
        <w:t xml:space="preserve">Ponieważ ORLEN nie zatwierdza taryf na energię </w:t>
      </w:r>
      <w:r w:rsidR="00B23F70">
        <w:rPr>
          <w:i w:val="0"/>
        </w:rPr>
        <w:t>„</w:t>
      </w:r>
      <w:r>
        <w:rPr>
          <w:i w:val="0"/>
        </w:rPr>
        <w:t>rok poprzedzający zatwierdzenie taryfy</w:t>
      </w:r>
      <w:r w:rsidR="00B23F70">
        <w:rPr>
          <w:i w:val="0"/>
        </w:rPr>
        <w:t>”</w:t>
      </w:r>
      <w:r>
        <w:rPr>
          <w:i w:val="0"/>
        </w:rPr>
        <w:t xml:space="preserve"> można zastąpić </w:t>
      </w:r>
      <w:r w:rsidR="00B23F70">
        <w:rPr>
          <w:i w:val="0"/>
        </w:rPr>
        <w:t>„</w:t>
      </w:r>
      <w:r>
        <w:rPr>
          <w:i w:val="0"/>
        </w:rPr>
        <w:t>rokiem poprzedzającym rok obowiązywania umowy</w:t>
      </w:r>
      <w:r w:rsidR="00B23F70">
        <w:rPr>
          <w:i w:val="0"/>
        </w:rPr>
        <w:t>”</w:t>
      </w:r>
      <w:r>
        <w:rPr>
          <w:i w:val="0"/>
        </w:rPr>
        <w:t>.</w:t>
      </w:r>
    </w:p>
    <w:p w:rsidR="00675C37" w:rsidRPr="00B23F70" w:rsidRDefault="00675C37" w:rsidP="00AB4EFC">
      <w:pPr>
        <w:rPr>
          <w:rFonts w:cs="Arial"/>
          <w:b/>
          <w:i w:val="0"/>
          <w:szCs w:val="24"/>
        </w:rPr>
      </w:pPr>
      <w:r w:rsidRPr="00B23F70">
        <w:rPr>
          <w:b/>
          <w:i w:val="0"/>
        </w:rPr>
        <w:t xml:space="preserve">Propozycja zmiany zapisu </w:t>
      </w:r>
      <w:r w:rsidRPr="00B23F70">
        <w:rPr>
          <w:rFonts w:cs="Arial"/>
          <w:b/>
          <w:i w:val="0"/>
          <w:szCs w:val="24"/>
        </w:rPr>
        <w:t>§4 ust. 2</w:t>
      </w:r>
      <w:r w:rsidR="00B23F70">
        <w:rPr>
          <w:rFonts w:cs="Arial"/>
          <w:b/>
          <w:i w:val="0"/>
          <w:szCs w:val="24"/>
        </w:rPr>
        <w:t xml:space="preserve"> we wzorach umów</w:t>
      </w:r>
    </w:p>
    <w:p w:rsidR="00675C37" w:rsidRDefault="00675C37" w:rsidP="00AB4EFC">
      <w:pPr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Jest:</w:t>
      </w:r>
    </w:p>
    <w:p w:rsidR="00675C37" w:rsidRPr="00675C37" w:rsidRDefault="00675C37" w:rsidP="00675C37">
      <w:pPr>
        <w:tabs>
          <w:tab w:val="left" w:pos="360"/>
        </w:tabs>
        <w:suppressAutoHyphens/>
        <w:ind w:left="360" w:hanging="360"/>
        <w:jc w:val="both"/>
        <w:rPr>
          <w:rFonts w:cs="Calibri"/>
          <w:i w:val="0"/>
          <w:lang w:eastAsia="ar-SA"/>
        </w:rPr>
      </w:pPr>
      <w:r w:rsidRPr="00675C37">
        <w:rPr>
          <w:rFonts w:cs="Calibri"/>
          <w:i w:val="0"/>
          <w:lang w:eastAsia="ar-SA"/>
        </w:rPr>
        <w:t>2.</w:t>
      </w:r>
      <w:r w:rsidRPr="00675C37">
        <w:rPr>
          <w:rFonts w:cs="Calibri"/>
          <w:i w:val="0"/>
          <w:lang w:eastAsia="ar-SA"/>
        </w:rPr>
        <w:tab/>
        <w:t xml:space="preserve">W przypadku niedotrzymania jakościowych standardów obsługi Zamawiającemu przysługuje prawo bonifikaty według stawek określonych w § 42 Rozporządzenia Ministra Energii z dnia 29 grudnia 2017 r. </w:t>
      </w:r>
      <w:r w:rsidRPr="00675C37">
        <w:rPr>
          <w:rFonts w:cs="Calibri"/>
          <w:i w:val="0"/>
          <w:lang w:eastAsia="ar-SA"/>
        </w:rPr>
        <w:br/>
        <w:t>w sprawie szczegółowych zasad kształtowania i kalkulacji taryf oraz rozliczeń w obrocie energią elektryczną (Dz.U. z 2017 r. poz. 2500) lub w każdym później wydanym akcie prawnym dotyczącym jakościowych standardów obsługi.</w:t>
      </w:r>
    </w:p>
    <w:p w:rsidR="00675C37" w:rsidRDefault="00675C37" w:rsidP="00AB4EFC">
      <w:pPr>
        <w:rPr>
          <w:i w:val="0"/>
        </w:rPr>
      </w:pPr>
      <w:r>
        <w:rPr>
          <w:i w:val="0"/>
        </w:rPr>
        <w:t>Powinno być:</w:t>
      </w:r>
    </w:p>
    <w:p w:rsidR="00675C37" w:rsidRPr="00675C37" w:rsidRDefault="00675C37" w:rsidP="00675C37">
      <w:pPr>
        <w:tabs>
          <w:tab w:val="left" w:pos="360"/>
        </w:tabs>
        <w:suppressAutoHyphens/>
        <w:ind w:left="360" w:hanging="360"/>
        <w:jc w:val="both"/>
        <w:rPr>
          <w:rFonts w:cs="Calibri"/>
          <w:i w:val="0"/>
          <w:lang w:eastAsia="ar-SA"/>
        </w:rPr>
      </w:pPr>
      <w:r w:rsidRPr="00675C37">
        <w:rPr>
          <w:rFonts w:cs="Calibri"/>
          <w:i w:val="0"/>
          <w:lang w:eastAsia="ar-SA"/>
        </w:rPr>
        <w:t>2.</w:t>
      </w:r>
      <w:r w:rsidRPr="00675C37">
        <w:rPr>
          <w:rFonts w:cs="Calibri"/>
          <w:i w:val="0"/>
          <w:lang w:eastAsia="ar-SA"/>
        </w:rPr>
        <w:tab/>
        <w:t xml:space="preserve">W przypadku niedotrzymania jakościowych standardów obsługi Zamawiającemu przysługuje prawo bonifikaty według stawek określonych w § 42 Rozporządzenia Ministra Energii z dnia 29 grudnia 2017 r. </w:t>
      </w:r>
      <w:r w:rsidRPr="00675C37">
        <w:rPr>
          <w:rFonts w:cs="Calibri"/>
          <w:i w:val="0"/>
          <w:lang w:eastAsia="ar-SA"/>
        </w:rPr>
        <w:br/>
        <w:t>w sprawie szczegółowych zasad kształtowania i kalkulacji taryf oraz rozliczeń w obrocie energią elektryczną (Dz.U. z 2017 r. poz. 2500) lub w każdym później wydanym akcie prawnym dotyczącym jakościowych standardów obsługi.</w:t>
      </w:r>
      <w:r>
        <w:rPr>
          <w:rFonts w:cs="Calibri"/>
          <w:i w:val="0"/>
          <w:lang w:eastAsia="ar-SA"/>
        </w:rPr>
        <w:t xml:space="preserve"> </w:t>
      </w:r>
      <w:bookmarkStart w:id="0" w:name="_GoBack"/>
      <w:r w:rsidR="00B23F70">
        <w:rPr>
          <w:rFonts w:cs="Calibri"/>
          <w:i w:val="0"/>
          <w:lang w:eastAsia="ar-SA"/>
        </w:rPr>
        <w:t xml:space="preserve">W przypadku </w:t>
      </w:r>
      <w:r w:rsidR="00437A57">
        <w:rPr>
          <w:rFonts w:cs="Calibri"/>
          <w:i w:val="0"/>
          <w:lang w:eastAsia="ar-SA"/>
        </w:rPr>
        <w:t>braku zatwierdzonej aktualnej taryfy</w:t>
      </w:r>
      <w:r w:rsidR="00B23F70">
        <w:rPr>
          <w:rFonts w:cs="Calibri"/>
          <w:i w:val="0"/>
          <w:lang w:eastAsia="ar-SA"/>
        </w:rPr>
        <w:t xml:space="preserve"> na energię </w:t>
      </w:r>
      <w:bookmarkEnd w:id="0"/>
      <w:r w:rsidR="005D6E28">
        <w:rPr>
          <w:rFonts w:cs="Calibri"/>
          <w:i w:val="0"/>
          <w:lang w:eastAsia="ar-SA"/>
        </w:rPr>
        <w:t>przedmiotowe</w:t>
      </w:r>
      <w:r w:rsidR="00B23F70">
        <w:rPr>
          <w:rFonts w:cs="Calibri"/>
          <w:i w:val="0"/>
          <w:lang w:eastAsia="ar-SA"/>
        </w:rPr>
        <w:t xml:space="preserve"> stawki </w:t>
      </w:r>
      <w:r w:rsidR="005D6E28">
        <w:rPr>
          <w:rFonts w:cs="Calibri"/>
          <w:i w:val="0"/>
          <w:lang w:eastAsia="ar-SA"/>
        </w:rPr>
        <w:t xml:space="preserve">bonifikaty </w:t>
      </w:r>
      <w:r w:rsidR="00B23F70">
        <w:rPr>
          <w:rFonts w:cs="Calibri"/>
          <w:i w:val="0"/>
          <w:lang w:eastAsia="ar-SA"/>
        </w:rPr>
        <w:t xml:space="preserve">znajdują zastosowanie z zastrzeżeniem, że </w:t>
      </w:r>
      <w:r w:rsidR="005D6E28">
        <w:rPr>
          <w:rFonts w:cs="Calibri"/>
          <w:i w:val="0"/>
          <w:lang w:eastAsia="ar-SA"/>
        </w:rPr>
        <w:t xml:space="preserve">zapis </w:t>
      </w:r>
      <w:r w:rsidR="00B23F70">
        <w:rPr>
          <w:rFonts w:cs="Calibri"/>
          <w:i w:val="0"/>
          <w:lang w:eastAsia="ar-SA"/>
        </w:rPr>
        <w:t>„</w:t>
      </w:r>
      <w:r w:rsidR="00B23F70">
        <w:t>przeciętnego wynagrodzenia w gospodarce narodowej w roku kalendarzowym poprzedzającym rok zatwierdzenia taryfy”</w:t>
      </w:r>
      <w:r w:rsidR="00B23F70">
        <w:rPr>
          <w:rFonts w:cs="Calibri"/>
          <w:i w:val="0"/>
          <w:lang w:eastAsia="ar-SA"/>
        </w:rPr>
        <w:t xml:space="preserve"> </w:t>
      </w:r>
      <w:r w:rsidR="005D6E28">
        <w:rPr>
          <w:rFonts w:cs="Calibri"/>
          <w:i w:val="0"/>
          <w:lang w:eastAsia="ar-SA"/>
        </w:rPr>
        <w:t>przyjmuje brzmienie</w:t>
      </w:r>
      <w:r w:rsidR="00B23F70">
        <w:rPr>
          <w:rFonts w:cs="Calibri"/>
          <w:i w:val="0"/>
          <w:lang w:eastAsia="ar-SA"/>
        </w:rPr>
        <w:t xml:space="preserve"> „</w:t>
      </w:r>
      <w:r w:rsidR="00B23F70" w:rsidRPr="005D6E28">
        <w:t>przeciętne</w:t>
      </w:r>
      <w:r w:rsidR="005D6E28">
        <w:t>go</w:t>
      </w:r>
      <w:r w:rsidR="00B23F70" w:rsidRPr="005D6E28">
        <w:t xml:space="preserve"> wynagrodzeni</w:t>
      </w:r>
      <w:r w:rsidR="005D6E28">
        <w:t>a</w:t>
      </w:r>
      <w:r w:rsidR="00B23F70" w:rsidRPr="005D6E28">
        <w:t xml:space="preserve"> w gospodarce narodowej w roku kalendarzowym </w:t>
      </w:r>
      <w:r w:rsidR="005D6E28" w:rsidRPr="005D6E28">
        <w:t>poprzedzającym</w:t>
      </w:r>
      <w:r w:rsidR="002D0034" w:rsidRPr="005D6E28">
        <w:rPr>
          <w:rFonts w:cs="Calibri"/>
          <w:lang w:eastAsia="ar-SA"/>
        </w:rPr>
        <w:t xml:space="preserve"> </w:t>
      </w:r>
      <w:r w:rsidR="005D6E28" w:rsidRPr="005D6E28">
        <w:rPr>
          <w:rFonts w:cs="Calibri"/>
          <w:lang w:eastAsia="ar-SA"/>
        </w:rPr>
        <w:t xml:space="preserve">rok </w:t>
      </w:r>
      <w:r w:rsidR="002D0034" w:rsidRPr="005D6E28">
        <w:rPr>
          <w:rFonts w:cs="Calibri"/>
          <w:lang w:eastAsia="ar-SA"/>
        </w:rPr>
        <w:t>obowiązywania umowy</w:t>
      </w:r>
      <w:r w:rsidR="005D6E28">
        <w:rPr>
          <w:rFonts w:cs="Calibri"/>
          <w:lang w:eastAsia="ar-SA"/>
        </w:rPr>
        <w:t>”</w:t>
      </w:r>
      <w:r w:rsidR="005D6E28" w:rsidRPr="005D6E28">
        <w:rPr>
          <w:rFonts w:cs="Calibri"/>
          <w:i w:val="0"/>
          <w:lang w:eastAsia="ar-SA"/>
        </w:rPr>
        <w:t>.</w:t>
      </w:r>
    </w:p>
    <w:p w:rsidR="00675C37" w:rsidRDefault="00675C37" w:rsidP="00675C37">
      <w:pPr>
        <w:rPr>
          <w:i w:val="0"/>
        </w:rPr>
      </w:pPr>
    </w:p>
    <w:p w:rsidR="005D6E28" w:rsidRPr="00D42CE4" w:rsidRDefault="00D42CE4" w:rsidP="00675C37">
      <w:pPr>
        <w:rPr>
          <w:b/>
          <w:i w:val="0"/>
        </w:rPr>
      </w:pPr>
      <w:r>
        <w:rPr>
          <w:b/>
          <w:i w:val="0"/>
        </w:rPr>
        <w:t>Pytanie</w:t>
      </w:r>
      <w:r w:rsidR="005D6E28" w:rsidRPr="00D42CE4">
        <w:rPr>
          <w:b/>
          <w:i w:val="0"/>
        </w:rPr>
        <w:t xml:space="preserve"> 4.</w:t>
      </w:r>
      <w:r w:rsidRPr="00D42CE4">
        <w:rPr>
          <w:b/>
          <w:i w:val="0"/>
        </w:rPr>
        <w:t xml:space="preserve"> – 8.</w:t>
      </w:r>
    </w:p>
    <w:p w:rsidR="005D6E28" w:rsidRPr="00675C37" w:rsidRDefault="005D6E28" w:rsidP="00675C37">
      <w:pPr>
        <w:rPr>
          <w:i w:val="0"/>
        </w:rPr>
      </w:pPr>
      <w:r>
        <w:rPr>
          <w:i w:val="0"/>
        </w:rPr>
        <w:t xml:space="preserve">Być może warto </w:t>
      </w:r>
      <w:r w:rsidR="00D42CE4">
        <w:rPr>
          <w:i w:val="0"/>
        </w:rPr>
        <w:t xml:space="preserve">jednak </w:t>
      </w:r>
      <w:r>
        <w:rPr>
          <w:i w:val="0"/>
        </w:rPr>
        <w:t xml:space="preserve">odświeżyć </w:t>
      </w:r>
      <w:r w:rsidR="00D42CE4">
        <w:rPr>
          <w:i w:val="0"/>
        </w:rPr>
        <w:t xml:space="preserve">te </w:t>
      </w:r>
      <w:r>
        <w:rPr>
          <w:i w:val="0"/>
        </w:rPr>
        <w:t>zapisy przy okazji zmian</w:t>
      </w:r>
      <w:r w:rsidR="00D42CE4">
        <w:rPr>
          <w:i w:val="0"/>
        </w:rPr>
        <w:t xml:space="preserve"> SIWZ, szczególnie w zakresie pytania 4.</w:t>
      </w:r>
    </w:p>
    <w:sectPr w:rsidR="005D6E28" w:rsidRPr="00675C3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C37" w:rsidRDefault="00675C37" w:rsidP="00675C37">
      <w:r>
        <w:separator/>
      </w:r>
    </w:p>
  </w:endnote>
  <w:endnote w:type="continuationSeparator" w:id="0">
    <w:p w:rsidR="00675C37" w:rsidRDefault="00675C37" w:rsidP="0067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eastAsiaTheme="majorEastAsia" w:hAnsi="Arial" w:cs="Arial"/>
        <w:sz w:val="16"/>
        <w:szCs w:val="16"/>
      </w:rPr>
      <w:id w:val="-1765603093"/>
      <w:docPartObj>
        <w:docPartGallery w:val="Page Numbers (Bottom of Page)"/>
        <w:docPartUnique/>
      </w:docPartObj>
    </w:sdtPr>
    <w:sdtEndPr/>
    <w:sdtContent>
      <w:p w:rsidR="00675C37" w:rsidRPr="00675C37" w:rsidRDefault="00675C37">
        <w:pPr>
          <w:pStyle w:val="Stopka"/>
          <w:jc w:val="right"/>
          <w:rPr>
            <w:rFonts w:ascii="Arial" w:eastAsiaTheme="majorEastAsia" w:hAnsi="Arial" w:cs="Arial"/>
            <w:sz w:val="16"/>
            <w:szCs w:val="16"/>
          </w:rPr>
        </w:pPr>
        <w:r w:rsidRPr="00675C37">
          <w:rPr>
            <w:rFonts w:ascii="Arial" w:eastAsiaTheme="majorEastAsia" w:hAnsi="Arial" w:cs="Arial"/>
            <w:sz w:val="16"/>
            <w:szCs w:val="16"/>
          </w:rPr>
          <w:t xml:space="preserve">str. </w:t>
        </w:r>
        <w:r w:rsidRPr="00675C37">
          <w:rPr>
            <w:rFonts w:ascii="Arial" w:eastAsiaTheme="minorEastAsia" w:hAnsi="Arial" w:cs="Arial"/>
            <w:sz w:val="16"/>
            <w:szCs w:val="16"/>
          </w:rPr>
          <w:fldChar w:fldCharType="begin"/>
        </w:r>
        <w:r w:rsidRPr="00675C37">
          <w:rPr>
            <w:rFonts w:ascii="Arial" w:hAnsi="Arial" w:cs="Arial"/>
            <w:sz w:val="16"/>
            <w:szCs w:val="16"/>
          </w:rPr>
          <w:instrText>PAGE    \* MERGEFORMAT</w:instrText>
        </w:r>
        <w:r w:rsidRPr="00675C37">
          <w:rPr>
            <w:rFonts w:ascii="Arial" w:eastAsiaTheme="minorEastAsia" w:hAnsi="Arial" w:cs="Arial"/>
            <w:sz w:val="16"/>
            <w:szCs w:val="16"/>
          </w:rPr>
          <w:fldChar w:fldCharType="separate"/>
        </w:r>
        <w:r w:rsidR="00437A57" w:rsidRPr="00437A57">
          <w:rPr>
            <w:rFonts w:ascii="Arial" w:eastAsiaTheme="majorEastAsia" w:hAnsi="Arial" w:cs="Arial"/>
            <w:noProof/>
            <w:sz w:val="16"/>
            <w:szCs w:val="16"/>
          </w:rPr>
          <w:t>2</w:t>
        </w:r>
        <w:r w:rsidRPr="00675C37">
          <w:rPr>
            <w:rFonts w:ascii="Arial" w:eastAsiaTheme="majorEastAsia" w:hAnsi="Arial" w:cs="Arial"/>
            <w:sz w:val="16"/>
            <w:szCs w:val="16"/>
          </w:rPr>
          <w:fldChar w:fldCharType="end"/>
        </w:r>
      </w:p>
    </w:sdtContent>
  </w:sdt>
  <w:p w:rsidR="00675C37" w:rsidRDefault="00675C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37" w:rsidRPr="00675C37" w:rsidRDefault="00675C37">
    <w:pPr>
      <w:pStyle w:val="Stopka"/>
      <w:jc w:val="right"/>
      <w:rPr>
        <w:rFonts w:ascii="Arial" w:eastAsiaTheme="majorEastAsia" w:hAnsi="Arial" w:cs="Arial"/>
        <w:sz w:val="16"/>
        <w:szCs w:val="16"/>
      </w:rPr>
    </w:pPr>
  </w:p>
  <w:p w:rsidR="00675C37" w:rsidRDefault="00675C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C37" w:rsidRDefault="00675C37" w:rsidP="00675C37">
      <w:r>
        <w:separator/>
      </w:r>
    </w:p>
  </w:footnote>
  <w:footnote w:type="continuationSeparator" w:id="0">
    <w:p w:rsidR="00675C37" w:rsidRDefault="00675C37" w:rsidP="00675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C37" w:rsidRDefault="00675C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93C821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802031D"/>
    <w:multiLevelType w:val="hybridMultilevel"/>
    <w:tmpl w:val="F6CED5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A7AAE"/>
    <w:multiLevelType w:val="hybridMultilevel"/>
    <w:tmpl w:val="2548C6FE"/>
    <w:lvl w:ilvl="0" w:tplc="997497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EC"/>
    <w:rsid w:val="00072372"/>
    <w:rsid w:val="001615EC"/>
    <w:rsid w:val="001F4D14"/>
    <w:rsid w:val="00227A43"/>
    <w:rsid w:val="002D0034"/>
    <w:rsid w:val="003B2A50"/>
    <w:rsid w:val="00437A57"/>
    <w:rsid w:val="004C20E4"/>
    <w:rsid w:val="00536AE2"/>
    <w:rsid w:val="00561705"/>
    <w:rsid w:val="005D6E28"/>
    <w:rsid w:val="00675C37"/>
    <w:rsid w:val="00715C33"/>
    <w:rsid w:val="007D33E2"/>
    <w:rsid w:val="00837EA4"/>
    <w:rsid w:val="008F6470"/>
    <w:rsid w:val="00AB4EFC"/>
    <w:rsid w:val="00AC1537"/>
    <w:rsid w:val="00B23F70"/>
    <w:rsid w:val="00BB1622"/>
    <w:rsid w:val="00C31210"/>
    <w:rsid w:val="00CA46E3"/>
    <w:rsid w:val="00D42CE4"/>
    <w:rsid w:val="00DE3FA2"/>
    <w:rsid w:val="00E6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07612-5977-4671-BB4E-059BDE98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15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EFC"/>
    <w:pPr>
      <w:widowControl/>
      <w:autoSpaceDE/>
      <w:autoSpaceDN/>
      <w:adjustRightInd/>
      <w:ind w:left="720"/>
      <w:contextualSpacing/>
    </w:pPr>
    <w:rPr>
      <w:rFonts w:asciiTheme="minorHAnsi" w:eastAsiaTheme="minorEastAsia" w:hAnsiTheme="minorHAnsi" w:cstheme="minorBidi"/>
      <w:i w:val="0"/>
      <w:iCs w:val="0"/>
      <w:sz w:val="24"/>
      <w:szCs w:val="24"/>
      <w:lang w:val="cs-CZ"/>
    </w:rPr>
  </w:style>
  <w:style w:type="character" w:customStyle="1" w:styleId="Teksttreci2">
    <w:name w:val="Tekst treści (2)_"/>
    <w:basedOn w:val="Domylnaczcionkaakapitu"/>
    <w:link w:val="Teksttreci20"/>
    <w:locked/>
    <w:rsid w:val="00C31210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31210"/>
    <w:pPr>
      <w:shd w:val="clear" w:color="auto" w:fill="FFFFFF"/>
      <w:autoSpaceDE/>
      <w:autoSpaceDN/>
      <w:adjustRightInd/>
      <w:spacing w:before="500" w:line="224" w:lineRule="exact"/>
      <w:jc w:val="right"/>
    </w:pPr>
    <w:rPr>
      <w:rFonts w:ascii="Book Antiqua" w:eastAsia="Book Antiqua" w:hAnsi="Book Antiqua" w:cs="Book Antiqua"/>
      <w:i w:val="0"/>
      <w:iCs w:val="0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75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5C3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5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5C3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BB60A-594D-49C9-81E7-B31E956F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1306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5</cp:revision>
  <dcterms:created xsi:type="dcterms:W3CDTF">2018-09-06T05:21:00Z</dcterms:created>
  <dcterms:modified xsi:type="dcterms:W3CDTF">2018-09-06T08:29:00Z</dcterms:modified>
</cp:coreProperties>
</file>